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68F" w:rsidRDefault="00D70642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8"/>
          <w:szCs w:val="38"/>
        </w:rPr>
      </w:pPr>
      <w:r>
        <w:rPr>
          <w:rFonts w:ascii="Times New Roman" w:hAnsi="Times New Roman"/>
          <w:b/>
          <w:bCs/>
          <w:sz w:val="38"/>
          <w:szCs w:val="38"/>
        </w:rPr>
        <w:t xml:space="preserve"> </w:t>
      </w: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8"/>
          <w:szCs w:val="38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8"/>
          <w:szCs w:val="38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8"/>
          <w:szCs w:val="38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8"/>
          <w:szCs w:val="38"/>
        </w:rPr>
      </w:pPr>
    </w:p>
    <w:p w:rsidR="0090142A" w:rsidRDefault="0090142A" w:rsidP="00D703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8"/>
          <w:szCs w:val="38"/>
        </w:rPr>
      </w:pPr>
      <w:r>
        <w:rPr>
          <w:rFonts w:ascii="Times New Roman" w:hAnsi="Times New Roman"/>
          <w:b/>
          <w:bCs/>
          <w:sz w:val="38"/>
          <w:szCs w:val="38"/>
        </w:rPr>
        <w:t>SZCZEGÓŁOWA SPECYFIKACJA TECHNICZNA</w:t>
      </w:r>
      <w:r w:rsidR="00D70337">
        <w:rPr>
          <w:rFonts w:ascii="Times New Roman" w:hAnsi="Times New Roman"/>
          <w:b/>
          <w:bCs/>
          <w:sz w:val="38"/>
          <w:szCs w:val="38"/>
        </w:rPr>
        <w:t xml:space="preserve"> WYKONANIA I ODBIORU ROBÓT</w:t>
      </w: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42A" w:rsidRDefault="008C2A26" w:rsidP="00BC068F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TEMAT:</w:t>
      </w:r>
      <w:r>
        <w:rPr>
          <w:rFonts w:ascii="Times New Roman" w:hAnsi="Times New Roman"/>
          <w:sz w:val="24"/>
          <w:szCs w:val="24"/>
        </w:rPr>
        <w:tab/>
      </w:r>
      <w:r w:rsidR="0090142A">
        <w:rPr>
          <w:rFonts w:ascii="Times New Roman" w:hAnsi="Times New Roman"/>
          <w:sz w:val="24"/>
          <w:szCs w:val="24"/>
        </w:rPr>
        <w:t>SZCZEGÓŁOWA SPECYFIKACJA TECHNICZNA WYKONANIA</w:t>
      </w:r>
      <w:r w:rsidR="00BC068F">
        <w:rPr>
          <w:rFonts w:ascii="Times New Roman" w:hAnsi="Times New Roman"/>
          <w:sz w:val="24"/>
          <w:szCs w:val="24"/>
        </w:rPr>
        <w:t xml:space="preserve"> I </w:t>
      </w:r>
      <w:r w:rsidR="0090142A">
        <w:rPr>
          <w:rFonts w:ascii="Times New Roman" w:hAnsi="Times New Roman"/>
          <w:sz w:val="24"/>
          <w:szCs w:val="24"/>
        </w:rPr>
        <w:t>ODBIORU</w:t>
      </w:r>
      <w:r w:rsidR="00A71E50">
        <w:rPr>
          <w:rFonts w:ascii="Times New Roman" w:hAnsi="Times New Roman"/>
          <w:sz w:val="24"/>
          <w:szCs w:val="24"/>
        </w:rPr>
        <w:t xml:space="preserve"> </w:t>
      </w:r>
      <w:r w:rsidR="0090142A">
        <w:rPr>
          <w:rFonts w:ascii="Times New Roman" w:hAnsi="Times New Roman"/>
          <w:sz w:val="24"/>
          <w:szCs w:val="24"/>
        </w:rPr>
        <w:t>ROBÓT</w:t>
      </w:r>
      <w:r w:rsidR="00A71E50">
        <w:rPr>
          <w:rFonts w:ascii="Times New Roman" w:hAnsi="Times New Roman"/>
          <w:sz w:val="24"/>
          <w:szCs w:val="24"/>
        </w:rPr>
        <w:t xml:space="preserve"> </w:t>
      </w:r>
      <w:r w:rsidR="0090142A">
        <w:rPr>
          <w:rFonts w:ascii="Times New Roman" w:hAnsi="Times New Roman"/>
          <w:sz w:val="24"/>
          <w:szCs w:val="24"/>
        </w:rPr>
        <w:t>DL</w:t>
      </w:r>
      <w:r w:rsidR="00BC068F">
        <w:rPr>
          <w:rFonts w:ascii="Times New Roman" w:hAnsi="Times New Roman"/>
          <w:sz w:val="24"/>
          <w:szCs w:val="24"/>
        </w:rPr>
        <w:t xml:space="preserve">A </w:t>
      </w:r>
      <w:r w:rsidR="00D70337">
        <w:rPr>
          <w:rFonts w:ascii="Times New Roman" w:hAnsi="Times New Roman"/>
          <w:sz w:val="24"/>
          <w:szCs w:val="24"/>
        </w:rPr>
        <w:t xml:space="preserve">INSTALACJI FOTOWOLTAICZNEJ O MOCY </w:t>
      </w:r>
      <w:r w:rsidR="00FE4C46">
        <w:rPr>
          <w:rFonts w:ascii="Times New Roman" w:hAnsi="Times New Roman"/>
          <w:sz w:val="24"/>
          <w:szCs w:val="24"/>
        </w:rPr>
        <w:t>4,59</w:t>
      </w:r>
      <w:r w:rsidR="00651EAF">
        <w:rPr>
          <w:rFonts w:ascii="Times New Roman" w:hAnsi="Times New Roman"/>
          <w:sz w:val="24"/>
          <w:szCs w:val="24"/>
        </w:rPr>
        <w:t xml:space="preserve"> </w:t>
      </w:r>
      <w:r w:rsidR="00D70337">
        <w:rPr>
          <w:rFonts w:ascii="Times New Roman" w:hAnsi="Times New Roman"/>
          <w:sz w:val="24"/>
          <w:szCs w:val="24"/>
        </w:rPr>
        <w:t xml:space="preserve">KWP DLA </w:t>
      </w:r>
      <w:r w:rsidR="008D6729">
        <w:rPr>
          <w:rFonts w:ascii="Times New Roman" w:hAnsi="Times New Roman"/>
          <w:sz w:val="24"/>
          <w:szCs w:val="24"/>
        </w:rPr>
        <w:t>SZKOŁY PODSTAWOWEJ W ODROWĄŻKU</w:t>
      </w:r>
      <w:r w:rsidR="00747E9E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68F" w:rsidRDefault="00BC068F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0337" w:rsidRDefault="00DC4AD0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Inwestor: </w:t>
      </w:r>
      <w:r w:rsidR="00A71E50">
        <w:rPr>
          <w:rFonts w:ascii="Times New Roman" w:hAnsi="Times New Roman"/>
          <w:sz w:val="24"/>
          <w:szCs w:val="24"/>
        </w:rPr>
        <w:tab/>
      </w:r>
      <w:r w:rsidR="00296817">
        <w:rPr>
          <w:rFonts w:ascii="Times New Roman" w:hAnsi="Times New Roman"/>
          <w:sz w:val="24"/>
          <w:szCs w:val="24"/>
        </w:rPr>
        <w:t xml:space="preserve">GMINA </w:t>
      </w:r>
      <w:r w:rsidR="000E6C0E">
        <w:rPr>
          <w:rFonts w:ascii="Times New Roman" w:hAnsi="Times New Roman"/>
          <w:sz w:val="24"/>
          <w:szCs w:val="24"/>
        </w:rPr>
        <w:t>BLIŻYN</w:t>
      </w:r>
    </w:p>
    <w:p w:rsidR="0090142A" w:rsidRDefault="00D70337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6C0E">
        <w:rPr>
          <w:rFonts w:ascii="Times New Roman" w:hAnsi="Times New Roman"/>
          <w:sz w:val="24"/>
          <w:szCs w:val="24"/>
        </w:rPr>
        <w:t>UL. KOŚCIUSZKI 79</w:t>
      </w:r>
      <w:r w:rsidR="00FE4C46">
        <w:rPr>
          <w:rFonts w:ascii="Times New Roman" w:hAnsi="Times New Roman"/>
          <w:sz w:val="24"/>
          <w:szCs w:val="24"/>
        </w:rPr>
        <w:t>a</w:t>
      </w:r>
      <w:r w:rsidR="00651EAF">
        <w:rPr>
          <w:rFonts w:ascii="Times New Roman" w:hAnsi="Times New Roman"/>
          <w:sz w:val="24"/>
          <w:szCs w:val="24"/>
        </w:rPr>
        <w:t>, 2</w:t>
      </w:r>
      <w:r w:rsidR="000E6C0E">
        <w:rPr>
          <w:rFonts w:ascii="Times New Roman" w:hAnsi="Times New Roman"/>
          <w:sz w:val="24"/>
          <w:szCs w:val="24"/>
        </w:rPr>
        <w:t>6</w:t>
      </w:r>
      <w:r w:rsidR="00651EAF">
        <w:rPr>
          <w:rFonts w:ascii="Times New Roman" w:hAnsi="Times New Roman"/>
          <w:sz w:val="24"/>
          <w:szCs w:val="24"/>
        </w:rPr>
        <w:t>-</w:t>
      </w:r>
      <w:r w:rsidR="000E6C0E">
        <w:rPr>
          <w:rFonts w:ascii="Times New Roman" w:hAnsi="Times New Roman"/>
          <w:sz w:val="24"/>
          <w:szCs w:val="24"/>
        </w:rPr>
        <w:t>120</w:t>
      </w:r>
      <w:r w:rsidR="00651EAF">
        <w:rPr>
          <w:rFonts w:ascii="Times New Roman" w:hAnsi="Times New Roman"/>
          <w:sz w:val="24"/>
          <w:szCs w:val="24"/>
        </w:rPr>
        <w:t xml:space="preserve"> </w:t>
      </w:r>
      <w:r w:rsidR="00FE4C46">
        <w:rPr>
          <w:rFonts w:ascii="Times New Roman" w:hAnsi="Times New Roman"/>
          <w:sz w:val="24"/>
          <w:szCs w:val="24"/>
        </w:rPr>
        <w:t>BLIŻYN</w:t>
      </w:r>
    </w:p>
    <w:p w:rsidR="00D70337" w:rsidRDefault="0090142A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Opracował: </w:t>
      </w:r>
      <w:r w:rsidR="00A71E50">
        <w:rPr>
          <w:rFonts w:ascii="Times New Roman" w:hAnsi="Times New Roman"/>
          <w:sz w:val="24"/>
          <w:szCs w:val="24"/>
        </w:rPr>
        <w:tab/>
      </w:r>
      <w:r w:rsidR="00D70337">
        <w:rPr>
          <w:rFonts w:ascii="Times New Roman" w:hAnsi="Times New Roman"/>
          <w:sz w:val="24"/>
          <w:szCs w:val="24"/>
        </w:rPr>
        <w:t xml:space="preserve">EKOENERGIA POLSKA S.P. Z O. O. </w:t>
      </w:r>
    </w:p>
    <w:p w:rsidR="0090142A" w:rsidRPr="008C2A26" w:rsidRDefault="00D70337" w:rsidP="0090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0B42">
        <w:rPr>
          <w:rFonts w:ascii="Times New Roman" w:hAnsi="Times New Roman"/>
          <w:smallCaps/>
          <w:sz w:val="24"/>
          <w:szCs w:val="24"/>
        </w:rPr>
        <w:t>mgr inż</w:t>
      </w:r>
      <w:r w:rsidR="0090142A" w:rsidRPr="008C2A26">
        <w:rPr>
          <w:rFonts w:ascii="Times New Roman" w:hAnsi="Times New Roman"/>
          <w:smallCaps/>
          <w:sz w:val="24"/>
          <w:szCs w:val="24"/>
        </w:rPr>
        <w:t>. Daniel Dziedzic</w:t>
      </w:r>
    </w:p>
    <w:p w:rsidR="0090142A" w:rsidRDefault="0090142A" w:rsidP="00A71E5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 w:rsidRPr="008C2A26">
        <w:rPr>
          <w:rFonts w:ascii="Times New Roman" w:hAnsi="Times New Roman"/>
          <w:smallCaps/>
          <w:sz w:val="24"/>
          <w:szCs w:val="24"/>
        </w:rPr>
        <w:t>UPR. SWK/0102/PWOE/13</w:t>
      </w: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0142A" w:rsidRDefault="0090142A" w:rsidP="009014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F1E7F" w:rsidRDefault="0090142A" w:rsidP="008F1E7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  <w:r w:rsidR="008F1E7F">
        <w:rPr>
          <w:rFonts w:ascii="Arial" w:hAnsi="Arial" w:cs="Arial"/>
          <w:b/>
        </w:rPr>
        <w:lastRenderedPageBreak/>
        <w:t>SPIS TREŚCI</w:t>
      </w:r>
    </w:p>
    <w:p w:rsidR="00751255" w:rsidRPr="00751255" w:rsidRDefault="0056085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r>
        <w:fldChar w:fldCharType="begin"/>
      </w:r>
      <w:r w:rsidR="008F1E7F">
        <w:instrText xml:space="preserve"> TOC \o "1-3" \h \z \u </w:instrText>
      </w:r>
      <w:r>
        <w:fldChar w:fldCharType="separate"/>
      </w:r>
      <w:hyperlink w:anchor="_Toc463817712" w:history="1">
        <w:r w:rsidR="00751255" w:rsidRPr="004D18A0">
          <w:rPr>
            <w:rStyle w:val="Hipercze"/>
          </w:rPr>
          <w:t>I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Wstęp.</w:t>
        </w:r>
        <w:r w:rsidR="00751255">
          <w:rPr>
            <w:webHidden/>
          </w:rPr>
          <w:tab/>
        </w:r>
        <w:r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20E7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2"/>
        <w:tabs>
          <w:tab w:val="left" w:pos="66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13" w:history="1">
        <w:r w:rsidR="00751255" w:rsidRPr="004D18A0">
          <w:rPr>
            <w:rStyle w:val="Hipercze"/>
            <w:noProof/>
          </w:rPr>
          <w:t>1.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Przedmiot Specyfikacji Technicznej.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_Toc463817713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2"/>
        <w:tabs>
          <w:tab w:val="left" w:pos="66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14" w:history="1">
        <w:r w:rsidR="00751255" w:rsidRPr="004D18A0">
          <w:rPr>
            <w:rStyle w:val="Hipercze"/>
            <w:noProof/>
          </w:rPr>
          <w:t>2.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Zakres stosowania Specyfikacji Technicznej.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_Toc463817714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2"/>
        <w:tabs>
          <w:tab w:val="left" w:pos="66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15" w:history="1">
        <w:r w:rsidR="00751255" w:rsidRPr="004D18A0">
          <w:rPr>
            <w:rStyle w:val="Hipercze"/>
            <w:noProof/>
          </w:rPr>
          <w:t>3.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Zakres robót objętych specyfikacją techniczną.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_Toc463817715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2"/>
        <w:tabs>
          <w:tab w:val="left" w:pos="66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16" w:history="1">
        <w:r w:rsidR="00751255" w:rsidRPr="004D18A0">
          <w:rPr>
            <w:rStyle w:val="Hipercze"/>
            <w:noProof/>
          </w:rPr>
          <w:t>4.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Ogólne wymagania dotyczące robót.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_Toc463817716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17" w:history="1">
        <w:r w:rsidR="00751255" w:rsidRPr="004D18A0">
          <w:rPr>
            <w:rStyle w:val="Hipercze"/>
          </w:rPr>
          <w:t>II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MATERIAŁY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_Toc463817717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4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2"/>
        <w:tabs>
          <w:tab w:val="left" w:pos="66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18" w:history="1">
        <w:r w:rsidR="00751255" w:rsidRPr="004D18A0">
          <w:rPr>
            <w:rStyle w:val="Hipercze"/>
            <w:noProof/>
          </w:rPr>
          <w:t>1.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Ogólne wymagania dotyczące materiałów.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_Toc463817718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2"/>
        <w:tabs>
          <w:tab w:val="left" w:pos="66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19" w:history="1">
        <w:r w:rsidR="00751255" w:rsidRPr="004D18A0">
          <w:rPr>
            <w:rStyle w:val="Hipercze"/>
            <w:noProof/>
          </w:rPr>
          <w:t>2.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Rodzaje materiałów.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_Toc463817719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20" w:history="1">
        <w:r w:rsidR="00751255" w:rsidRPr="004D18A0">
          <w:rPr>
            <w:rStyle w:val="Hipercze"/>
            <w:noProof/>
          </w:rPr>
          <w:t>a)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Tablica rozdzielcza.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_Toc463817720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21" w:history="1">
        <w:r w:rsidR="00751255" w:rsidRPr="004D18A0">
          <w:rPr>
            <w:rStyle w:val="Hipercze"/>
            <w:noProof/>
          </w:rPr>
          <w:t>b)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Przewody instalacyjne.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_Toc463817721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22" w:history="1">
        <w:r w:rsidR="00751255" w:rsidRPr="004D18A0">
          <w:rPr>
            <w:rStyle w:val="Hipercze"/>
            <w:noProof/>
          </w:rPr>
          <w:t>c)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Ograniczniki przepięć.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_Toc463817722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23" w:history="1">
        <w:r w:rsidR="00751255" w:rsidRPr="004D18A0">
          <w:rPr>
            <w:rStyle w:val="Hipercze"/>
            <w:noProof/>
          </w:rPr>
          <w:t>d)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Ochrona przetężeniowa.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_Toc463817723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24" w:history="1">
        <w:r w:rsidR="00751255" w:rsidRPr="004D18A0">
          <w:rPr>
            <w:rStyle w:val="Hipercze"/>
            <w:noProof/>
          </w:rPr>
          <w:t>e)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Panele fotowoltaiczne.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_Toc463817724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25" w:history="1">
        <w:r w:rsidR="00751255" w:rsidRPr="004D18A0">
          <w:rPr>
            <w:rStyle w:val="Hipercze"/>
            <w:noProof/>
          </w:rPr>
          <w:t>f)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Falowniki.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_Toc463817725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2"/>
        <w:tabs>
          <w:tab w:val="left" w:pos="66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27" w:history="1">
        <w:r w:rsidR="00751255" w:rsidRPr="004D18A0">
          <w:rPr>
            <w:rStyle w:val="Hipercze"/>
            <w:noProof/>
          </w:rPr>
          <w:t>3.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Odbiór materiałów na budowie.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_Toc463817727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2"/>
        <w:tabs>
          <w:tab w:val="left" w:pos="66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28" w:history="1">
        <w:r w:rsidR="00751255" w:rsidRPr="004D18A0">
          <w:rPr>
            <w:rStyle w:val="Hipercze"/>
            <w:noProof/>
          </w:rPr>
          <w:t>4.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Składowanie materiałów na budowie.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_Toc463817728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29" w:history="1">
        <w:r w:rsidR="00751255" w:rsidRPr="004D18A0">
          <w:rPr>
            <w:rStyle w:val="Hipercze"/>
          </w:rPr>
          <w:t>III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SPRZĘT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_Toc463817729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7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30" w:history="1">
        <w:r w:rsidR="00751255" w:rsidRPr="004D18A0">
          <w:rPr>
            <w:rStyle w:val="Hipercze"/>
          </w:rPr>
          <w:t>IV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TRANSPORT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_Toc463817730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7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31" w:history="1">
        <w:r w:rsidR="00751255" w:rsidRPr="004D18A0">
          <w:rPr>
            <w:rStyle w:val="Hipercze"/>
          </w:rPr>
          <w:t>V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WYKONANIE ROBÓT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_Toc463817731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7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32" w:history="1">
        <w:r w:rsidR="00751255" w:rsidRPr="004D18A0">
          <w:rPr>
            <w:rStyle w:val="Hipercze"/>
            <w:noProof/>
          </w:rPr>
          <w:t>1.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Tablice bezpiecznikowe.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_Toc463817732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33" w:history="1">
        <w:r w:rsidR="00751255" w:rsidRPr="004D18A0">
          <w:rPr>
            <w:rStyle w:val="Hipercze"/>
            <w:noProof/>
          </w:rPr>
          <w:t>2.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Przewody instalacyjne.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_Toc463817733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34" w:history="1">
        <w:r w:rsidR="00751255" w:rsidRPr="004D18A0">
          <w:rPr>
            <w:rStyle w:val="Hipercze"/>
            <w:noProof/>
          </w:rPr>
          <w:t>3.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Panele fotowoltaiczne.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_Toc463817734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35" w:history="1">
        <w:r w:rsidR="00751255" w:rsidRPr="004D18A0">
          <w:rPr>
            <w:rStyle w:val="Hipercze"/>
            <w:noProof/>
          </w:rPr>
          <w:t>4.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Falowniki.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_Toc463817735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36" w:history="1">
        <w:r w:rsidR="00751255" w:rsidRPr="004D18A0">
          <w:rPr>
            <w:rStyle w:val="Hipercze"/>
            <w:noProof/>
          </w:rPr>
          <w:t>5.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Konstrukcja nośna.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_Toc463817736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3"/>
        <w:tabs>
          <w:tab w:val="left" w:pos="880"/>
          <w:tab w:val="right" w:leader="dot" w:pos="9205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63817738" w:history="1">
        <w:r w:rsidR="004430E4">
          <w:rPr>
            <w:rStyle w:val="Hipercze"/>
            <w:noProof/>
          </w:rPr>
          <w:t>6</w:t>
        </w:r>
        <w:r w:rsidR="00751255" w:rsidRPr="004D18A0">
          <w:rPr>
            <w:rStyle w:val="Hipercze"/>
            <w:noProof/>
          </w:rPr>
          <w:t>.</w:t>
        </w:r>
        <w:r w:rsidR="00751255" w:rsidRPr="00751255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  <w:noProof/>
          </w:rPr>
          <w:t>Instalacja odgromowa.</w:t>
        </w:r>
        <w:r w:rsidR="00751255">
          <w:rPr>
            <w:noProof/>
            <w:webHidden/>
          </w:rPr>
          <w:tab/>
        </w:r>
        <w:r w:rsidR="00560857">
          <w:rPr>
            <w:noProof/>
            <w:webHidden/>
          </w:rPr>
          <w:fldChar w:fldCharType="begin"/>
        </w:r>
        <w:r w:rsidR="00751255">
          <w:rPr>
            <w:noProof/>
            <w:webHidden/>
          </w:rPr>
          <w:instrText xml:space="preserve"> PAGEREF _Toc463817738 \h </w:instrText>
        </w:r>
        <w:r w:rsidR="00560857">
          <w:rPr>
            <w:noProof/>
            <w:webHidden/>
          </w:rPr>
        </w:r>
        <w:r w:rsidR="0056085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60857">
          <w:rPr>
            <w:noProof/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39" w:history="1">
        <w:r w:rsidR="00751255" w:rsidRPr="004D18A0">
          <w:rPr>
            <w:rStyle w:val="Hipercze"/>
          </w:rPr>
          <w:t>VI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KONTROLA JAKOŚCI ROBÓT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_Toc463817739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8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40" w:history="1">
        <w:r w:rsidR="00751255" w:rsidRPr="004D18A0">
          <w:rPr>
            <w:rStyle w:val="Hipercze"/>
          </w:rPr>
          <w:t>VII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OBMIAR ROBÓT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_Toc463817740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9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1"/>
        <w:tabs>
          <w:tab w:val="left" w:pos="880"/>
        </w:tabs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41" w:history="1">
        <w:r w:rsidR="00751255" w:rsidRPr="004D18A0">
          <w:rPr>
            <w:rStyle w:val="Hipercze"/>
          </w:rPr>
          <w:t>VIII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ODBIÓR ROBÓT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_Toc463817741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9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42" w:history="1">
        <w:r w:rsidR="00751255" w:rsidRPr="004D18A0">
          <w:rPr>
            <w:rStyle w:val="Hipercze"/>
          </w:rPr>
          <w:t>IX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PODSTAWA PŁATNOŚCI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_Toc463817742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9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43" w:history="1">
        <w:r w:rsidR="00751255" w:rsidRPr="004D18A0">
          <w:rPr>
            <w:rStyle w:val="Hipercze"/>
            <w:rFonts w:ascii="Arial" w:hAnsi="Arial" w:cs="Arial"/>
          </w:rPr>
          <w:t>X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PRZEPISY ZWIĄZANE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_Toc463817743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10</w:t>
        </w:r>
        <w:r w:rsidR="00560857">
          <w:rPr>
            <w:webHidden/>
          </w:rPr>
          <w:fldChar w:fldCharType="end"/>
        </w:r>
      </w:hyperlink>
    </w:p>
    <w:p w:rsidR="00751255" w:rsidRPr="00751255" w:rsidRDefault="001F20E7">
      <w:pPr>
        <w:pStyle w:val="Spistreci1"/>
        <w:rPr>
          <w:rFonts w:ascii="Calibri" w:eastAsia="Times New Roman" w:hAnsi="Calibri"/>
          <w:b w:val="0"/>
          <w:sz w:val="22"/>
          <w:szCs w:val="22"/>
          <w:lang w:eastAsia="pl-PL"/>
        </w:rPr>
      </w:pPr>
      <w:hyperlink w:anchor="_Toc463817744" w:history="1">
        <w:r w:rsidR="00751255" w:rsidRPr="004D18A0">
          <w:rPr>
            <w:rStyle w:val="Hipercze"/>
          </w:rPr>
          <w:t>XI</w:t>
        </w:r>
        <w:r w:rsidR="00751255" w:rsidRPr="00751255">
          <w:rPr>
            <w:rFonts w:ascii="Calibri" w:eastAsia="Times New Roman" w:hAnsi="Calibri"/>
            <w:b w:val="0"/>
            <w:sz w:val="22"/>
            <w:szCs w:val="22"/>
            <w:lang w:eastAsia="pl-PL"/>
          </w:rPr>
          <w:tab/>
        </w:r>
        <w:r w:rsidR="00751255" w:rsidRPr="004D18A0">
          <w:rPr>
            <w:rStyle w:val="Hipercze"/>
          </w:rPr>
          <w:t>UWAGI</w:t>
        </w:r>
        <w:r w:rsidR="00751255">
          <w:rPr>
            <w:webHidden/>
          </w:rPr>
          <w:tab/>
        </w:r>
        <w:r w:rsidR="00560857">
          <w:rPr>
            <w:webHidden/>
          </w:rPr>
          <w:fldChar w:fldCharType="begin"/>
        </w:r>
        <w:r w:rsidR="00751255">
          <w:rPr>
            <w:webHidden/>
          </w:rPr>
          <w:instrText xml:space="preserve"> PAGEREF _Toc463817744 \h </w:instrText>
        </w:r>
        <w:r w:rsidR="00560857">
          <w:rPr>
            <w:webHidden/>
          </w:rPr>
        </w:r>
        <w:r w:rsidR="00560857">
          <w:rPr>
            <w:webHidden/>
          </w:rPr>
          <w:fldChar w:fldCharType="separate"/>
        </w:r>
        <w:r>
          <w:rPr>
            <w:webHidden/>
          </w:rPr>
          <w:t>11</w:t>
        </w:r>
        <w:r w:rsidR="00560857">
          <w:rPr>
            <w:webHidden/>
          </w:rPr>
          <w:fldChar w:fldCharType="end"/>
        </w:r>
      </w:hyperlink>
    </w:p>
    <w:p w:rsidR="008F1E7F" w:rsidRDefault="00560857" w:rsidP="008F1E7F">
      <w:pPr>
        <w:spacing w:after="0"/>
      </w:pPr>
      <w:r>
        <w:fldChar w:fldCharType="end"/>
      </w:r>
    </w:p>
    <w:p w:rsidR="008F1E7F" w:rsidRDefault="008F1E7F" w:rsidP="008F1E7F">
      <w:pPr>
        <w:pStyle w:val="Nagwek1"/>
        <w:numPr>
          <w:ilvl w:val="0"/>
          <w:numId w:val="3"/>
        </w:numPr>
        <w:rPr>
          <w:color w:val="auto"/>
        </w:rPr>
      </w:pPr>
      <w:bookmarkStart w:id="0" w:name="_Toc463817712"/>
      <w:r>
        <w:rPr>
          <w:color w:val="auto"/>
        </w:rPr>
        <w:lastRenderedPageBreak/>
        <w:t>Wstęp.</w:t>
      </w:r>
      <w:bookmarkEnd w:id="0"/>
    </w:p>
    <w:p w:rsidR="008F1E7F" w:rsidRDefault="008F1E7F" w:rsidP="008F1E7F">
      <w:pPr>
        <w:pStyle w:val="Nagwek2"/>
        <w:numPr>
          <w:ilvl w:val="1"/>
          <w:numId w:val="4"/>
        </w:numPr>
        <w:rPr>
          <w:color w:val="auto"/>
        </w:rPr>
      </w:pPr>
      <w:bookmarkStart w:id="1" w:name="_Toc463817713"/>
      <w:r w:rsidRPr="005E6DC7">
        <w:rPr>
          <w:color w:val="auto"/>
        </w:rPr>
        <w:t>Przedmiot Specyfikacji Technicznej.</w:t>
      </w:r>
      <w:bookmarkEnd w:id="1"/>
    </w:p>
    <w:p w:rsidR="008F1E7F" w:rsidRPr="008F1E7F" w:rsidRDefault="008F1E7F" w:rsidP="00BC068F">
      <w:pPr>
        <w:jc w:val="both"/>
      </w:pPr>
    </w:p>
    <w:p w:rsidR="008F1E7F" w:rsidRPr="002129FF" w:rsidRDefault="008F1E7F" w:rsidP="00BC068F">
      <w:pPr>
        <w:jc w:val="both"/>
      </w:pPr>
      <w:r>
        <w:tab/>
      </w:r>
      <w:r w:rsidRPr="003D2843">
        <w:t>Przedmiotem niniejszej specyfikacji technicznej są wymagania dotyczące wykonania i odbioru robót związanych z wykonaniem</w:t>
      </w:r>
      <w:r w:rsidR="00D70337">
        <w:t xml:space="preserve"> montażu instalacji fotowoltaicznej o mocy zainstalowanej </w:t>
      </w:r>
      <w:r w:rsidR="00FE4C46">
        <w:t>4,59</w:t>
      </w:r>
      <w:r w:rsidR="00651EAF">
        <w:t xml:space="preserve"> </w:t>
      </w:r>
      <w:r w:rsidR="00BC068F">
        <w:t>kWp</w:t>
      </w:r>
      <w:r w:rsidRPr="003D2843">
        <w:t xml:space="preserve"> na </w:t>
      </w:r>
      <w:r w:rsidR="008D6729">
        <w:t>ścianie południowej</w:t>
      </w:r>
      <w:r w:rsidR="007932A2">
        <w:t xml:space="preserve"> </w:t>
      </w:r>
      <w:r w:rsidR="00D70642">
        <w:t xml:space="preserve">Szkoły Podstawowej  w </w:t>
      </w:r>
      <w:r w:rsidR="00FE4C46">
        <w:t>Odrowążku</w:t>
      </w:r>
      <w:r w:rsidR="00973611">
        <w:t>.</w:t>
      </w:r>
    </w:p>
    <w:p w:rsidR="008F1E7F" w:rsidRDefault="008F1E7F" w:rsidP="008F1E7F">
      <w:pPr>
        <w:pStyle w:val="Nagwek2"/>
        <w:numPr>
          <w:ilvl w:val="1"/>
          <w:numId w:val="4"/>
        </w:numPr>
        <w:rPr>
          <w:color w:val="auto"/>
        </w:rPr>
      </w:pPr>
      <w:bookmarkStart w:id="2" w:name="_Toc463817714"/>
      <w:r w:rsidRPr="005E6DC7">
        <w:rPr>
          <w:color w:val="auto"/>
        </w:rPr>
        <w:t>Zakres stosowania Specyfikacji Technicznej.</w:t>
      </w:r>
      <w:bookmarkEnd w:id="2"/>
    </w:p>
    <w:p w:rsidR="008F1E7F" w:rsidRPr="008F1E7F" w:rsidRDefault="008F1E7F" w:rsidP="008F1E7F">
      <w:pPr>
        <w:rPr>
          <w:sz w:val="4"/>
          <w:szCs w:val="4"/>
        </w:rPr>
      </w:pPr>
    </w:p>
    <w:p w:rsidR="008F1E7F" w:rsidRPr="00317ABC" w:rsidRDefault="008F1E7F" w:rsidP="009F51A4">
      <w:pPr>
        <w:jc w:val="both"/>
      </w:pPr>
      <w:r>
        <w:tab/>
      </w:r>
      <w:r w:rsidRPr="00317ABC">
        <w:t>Specyfikacja Techniczna jest stosowana jako dokument przetargowy przy zlecaniu</w:t>
      </w:r>
      <w:r>
        <w:t xml:space="preserve"> </w:t>
      </w:r>
      <w:r w:rsidRPr="00317ABC">
        <w:t>i realizacji robót wymienionych w pkt. 1.</w:t>
      </w:r>
    </w:p>
    <w:p w:rsidR="008F1E7F" w:rsidRDefault="008F1E7F" w:rsidP="008F1E7F">
      <w:pPr>
        <w:pStyle w:val="Nagwek2"/>
        <w:numPr>
          <w:ilvl w:val="1"/>
          <w:numId w:val="4"/>
        </w:numPr>
        <w:rPr>
          <w:color w:val="auto"/>
        </w:rPr>
      </w:pPr>
      <w:bookmarkStart w:id="3" w:name="_Toc463817715"/>
      <w:r w:rsidRPr="005E6DC7">
        <w:rPr>
          <w:color w:val="auto"/>
        </w:rPr>
        <w:t>Zakres robót objętych specyfikacją techniczną.</w:t>
      </w:r>
      <w:bookmarkEnd w:id="3"/>
    </w:p>
    <w:p w:rsidR="00B905D8" w:rsidRPr="00B905D8" w:rsidRDefault="00B905D8" w:rsidP="00B905D8">
      <w:pPr>
        <w:rPr>
          <w:sz w:val="4"/>
          <w:szCs w:val="4"/>
        </w:rPr>
      </w:pPr>
    </w:p>
    <w:p w:rsidR="00C02446" w:rsidRPr="002129FF" w:rsidRDefault="008F1E7F" w:rsidP="00C02446">
      <w:pPr>
        <w:jc w:val="both"/>
      </w:pPr>
      <w:r>
        <w:tab/>
      </w:r>
      <w:r w:rsidRPr="00317ABC">
        <w:t>Roboty, których dotyczy specyfikacja obejmują wszystkie czynności umożliwiające</w:t>
      </w:r>
      <w:r>
        <w:t xml:space="preserve"> </w:t>
      </w:r>
      <w:r w:rsidRPr="00317ABC">
        <w:t>i maj</w:t>
      </w:r>
      <w:r w:rsidR="00DF6915">
        <w:t>ące na celu wykonanie robót</w:t>
      </w:r>
      <w:r w:rsidRPr="00317ABC">
        <w:t xml:space="preserve"> elektrycznych </w:t>
      </w:r>
      <w:r>
        <w:t>d</w:t>
      </w:r>
      <w:r w:rsidR="00DF6915">
        <w:t>la instalacji</w:t>
      </w:r>
      <w:r>
        <w:t xml:space="preserve"> paneli fotowoltaicznych </w:t>
      </w:r>
      <w:r w:rsidR="00335052">
        <w:t xml:space="preserve">na </w:t>
      </w:r>
      <w:r w:rsidR="007932A2">
        <w:t>dachu budynku</w:t>
      </w:r>
      <w:r w:rsidR="006B0A99" w:rsidRPr="006B0A99">
        <w:t xml:space="preserve"> </w:t>
      </w:r>
      <w:r w:rsidR="00FE4C46">
        <w:t>Szkoły Podstawowej w Odrowążku</w:t>
      </w:r>
      <w:r w:rsidR="00747E9E">
        <w:t>.</w:t>
      </w:r>
    </w:p>
    <w:p w:rsidR="008F1E7F" w:rsidRPr="008E064A" w:rsidRDefault="008F1E7F" w:rsidP="005A6C4B">
      <w:pPr>
        <w:jc w:val="both"/>
      </w:pPr>
      <w:r w:rsidRPr="008E064A">
        <w:t>Zakres robót obejmuje</w:t>
      </w:r>
      <w:r w:rsidR="00DF6915">
        <w:t xml:space="preserve"> m.in.</w:t>
      </w:r>
      <w:r w:rsidRPr="008E064A">
        <w:t>:</w:t>
      </w:r>
    </w:p>
    <w:p w:rsidR="00DC74B0" w:rsidRDefault="00DC74B0" w:rsidP="005A6C4B">
      <w:pPr>
        <w:jc w:val="both"/>
      </w:pPr>
      <w:r>
        <w:t xml:space="preserve">- montaż konstrukcji pod panele fotowoltaiczne, </w:t>
      </w:r>
    </w:p>
    <w:p w:rsidR="008F1E7F" w:rsidRPr="008E064A" w:rsidRDefault="00B776AE" w:rsidP="005A6C4B">
      <w:pPr>
        <w:jc w:val="both"/>
      </w:pPr>
      <w:r>
        <w:t>- instalację</w:t>
      </w:r>
      <w:r w:rsidR="008F1E7F" w:rsidRPr="008E064A">
        <w:t xml:space="preserve"> paneli fotowoltaicznych</w:t>
      </w:r>
    </w:p>
    <w:p w:rsidR="008F1E7F" w:rsidRPr="008E064A" w:rsidRDefault="00DC74B0" w:rsidP="005A6C4B">
      <w:pPr>
        <w:jc w:val="both"/>
      </w:pPr>
      <w:r>
        <w:t>- montaż tablic zabezpieczeniowych</w:t>
      </w:r>
      <w:r w:rsidR="00B776AE">
        <w:t xml:space="preserve"> instalacji PV </w:t>
      </w:r>
    </w:p>
    <w:p w:rsidR="008F1E7F" w:rsidRPr="008E064A" w:rsidRDefault="00B776AE" w:rsidP="005A6C4B">
      <w:pPr>
        <w:jc w:val="both"/>
      </w:pPr>
      <w:r>
        <w:t>-</w:t>
      </w:r>
      <w:r w:rsidR="008F1E7F" w:rsidRPr="008E064A">
        <w:t xml:space="preserve"> instalację ochronników przepięć</w:t>
      </w:r>
    </w:p>
    <w:p w:rsidR="008F1E7F" w:rsidRPr="008E064A" w:rsidRDefault="008F1E7F" w:rsidP="005A6C4B">
      <w:pPr>
        <w:jc w:val="both"/>
      </w:pPr>
      <w:r w:rsidRPr="008E064A">
        <w:t>- instalacja połączeń wyrównawczych i ochrony od porażeń</w:t>
      </w:r>
    </w:p>
    <w:p w:rsidR="008F1E7F" w:rsidRPr="008E064A" w:rsidRDefault="008F1E7F" w:rsidP="008F1E7F"/>
    <w:p w:rsidR="008F1E7F" w:rsidRDefault="008F1E7F" w:rsidP="008F1E7F">
      <w:pPr>
        <w:pStyle w:val="Nagwek2"/>
        <w:numPr>
          <w:ilvl w:val="1"/>
          <w:numId w:val="4"/>
        </w:numPr>
        <w:rPr>
          <w:color w:val="auto"/>
        </w:rPr>
      </w:pPr>
      <w:bookmarkStart w:id="4" w:name="_Toc463817716"/>
      <w:r w:rsidRPr="005E6DC7">
        <w:rPr>
          <w:color w:val="auto"/>
        </w:rPr>
        <w:t>Ogólne wymagania dotyczące robót.</w:t>
      </w:r>
      <w:bookmarkEnd w:id="4"/>
    </w:p>
    <w:p w:rsidR="00B905D8" w:rsidRPr="00B905D8" w:rsidRDefault="00B905D8" w:rsidP="00B905D8">
      <w:pPr>
        <w:rPr>
          <w:sz w:val="4"/>
          <w:szCs w:val="4"/>
        </w:rPr>
      </w:pPr>
    </w:p>
    <w:p w:rsidR="008F1E7F" w:rsidRDefault="008F1E7F" w:rsidP="005A6C4B">
      <w:pPr>
        <w:jc w:val="both"/>
      </w:pPr>
      <w:r>
        <w:tab/>
      </w:r>
      <w:r w:rsidRPr="00083CE1">
        <w:t>Wykonawca robót jest odpowiedzialny za jakość i</w:t>
      </w:r>
      <w:r w:rsidR="005A6C4B">
        <w:t>ch wykonania oraz za zgodność z </w:t>
      </w:r>
      <w:r w:rsidRPr="00083CE1">
        <w:t xml:space="preserve">dokumentacją projektową. </w:t>
      </w:r>
    </w:p>
    <w:p w:rsidR="008F1E7F" w:rsidRDefault="008F1E7F" w:rsidP="005A6C4B">
      <w:pPr>
        <w:jc w:val="both"/>
      </w:pPr>
      <w:r>
        <w:tab/>
      </w:r>
      <w:r w:rsidRPr="00083CE1">
        <w:t xml:space="preserve">Rodzaje (typy) urządzeń, osprzętu i materiałów pomocniczych zastosowanych do wykonywania instalacji powinny być zgodne z podanymi w dokumentacji projektowej. </w:t>
      </w:r>
    </w:p>
    <w:p w:rsidR="008F1E7F" w:rsidRDefault="008F1E7F" w:rsidP="005A6C4B">
      <w:pPr>
        <w:jc w:val="both"/>
      </w:pPr>
      <w:r>
        <w:tab/>
      </w:r>
      <w:r w:rsidRPr="00083CE1">
        <w:t>Zastosowanie do wykonania instalacji innych rodzajów (typów) urządzeń i osprzętu niż wymienione w projekcie dopuszczalne jest jedynie pod warunkiem</w:t>
      </w:r>
      <w:r w:rsidR="00DF6915">
        <w:t xml:space="preserve"> zachowania minimum</w:t>
      </w:r>
      <w:r w:rsidR="00EC2D0F">
        <w:t xml:space="preserve"> parametrów podanych w dokumentacjach</w:t>
      </w:r>
      <w:r w:rsidR="00DF6915">
        <w:t xml:space="preserve"> oraz</w:t>
      </w:r>
      <w:r w:rsidRPr="00083CE1">
        <w:t xml:space="preserve"> wprowadzenia do</w:t>
      </w:r>
      <w:r>
        <w:t xml:space="preserve"> </w:t>
      </w:r>
      <w:r w:rsidR="00EC2D0F">
        <w:t>dokumentacji</w:t>
      </w:r>
      <w:r w:rsidR="005A6C4B">
        <w:t xml:space="preserve"> zmian uzgodnionych w </w:t>
      </w:r>
      <w:r w:rsidRPr="00083CE1">
        <w:t>obowiązującym trybie z Inspektorem Nadzoru oraz z biurem projektowym opracowującym dokumentację.</w:t>
      </w:r>
    </w:p>
    <w:p w:rsidR="00747E9E" w:rsidRDefault="00747E9E" w:rsidP="005A6C4B">
      <w:pPr>
        <w:jc w:val="both"/>
      </w:pPr>
    </w:p>
    <w:p w:rsidR="00747E9E" w:rsidRPr="00083CE1" w:rsidRDefault="00747E9E" w:rsidP="005A6C4B">
      <w:pPr>
        <w:jc w:val="both"/>
      </w:pPr>
    </w:p>
    <w:p w:rsidR="008F1E7F" w:rsidRPr="002129FF" w:rsidRDefault="008F1E7F" w:rsidP="008F1E7F">
      <w:pPr>
        <w:pStyle w:val="Nagwek1"/>
        <w:numPr>
          <w:ilvl w:val="0"/>
          <w:numId w:val="3"/>
        </w:numPr>
        <w:rPr>
          <w:color w:val="auto"/>
        </w:rPr>
      </w:pPr>
      <w:bookmarkStart w:id="5" w:name="_Toc463817717"/>
      <w:r w:rsidRPr="002129FF">
        <w:rPr>
          <w:color w:val="auto"/>
        </w:rPr>
        <w:lastRenderedPageBreak/>
        <w:t>MATERIAŁY</w:t>
      </w:r>
      <w:bookmarkEnd w:id="5"/>
    </w:p>
    <w:p w:rsidR="008F1E7F" w:rsidRDefault="008F1E7F" w:rsidP="008F1E7F">
      <w:pPr>
        <w:pStyle w:val="Nagwek2"/>
        <w:numPr>
          <w:ilvl w:val="1"/>
          <w:numId w:val="5"/>
        </w:numPr>
        <w:rPr>
          <w:color w:val="auto"/>
        </w:rPr>
      </w:pPr>
      <w:bookmarkStart w:id="6" w:name="_Toc463817718"/>
      <w:r w:rsidRPr="005E6DC7">
        <w:rPr>
          <w:color w:val="auto"/>
        </w:rPr>
        <w:t>Ogólne wymagania dotyczące materiałów.</w:t>
      </w:r>
      <w:bookmarkEnd w:id="6"/>
    </w:p>
    <w:p w:rsidR="00EC2D0F" w:rsidRPr="00EC2D0F" w:rsidRDefault="00EC2D0F" w:rsidP="00EC2D0F">
      <w:pPr>
        <w:rPr>
          <w:sz w:val="4"/>
          <w:szCs w:val="4"/>
        </w:rPr>
      </w:pPr>
    </w:p>
    <w:p w:rsidR="008F1E7F" w:rsidRPr="003D2843" w:rsidRDefault="008F1E7F" w:rsidP="00DC74B0">
      <w:pPr>
        <w:jc w:val="both"/>
      </w:pPr>
      <w:r>
        <w:tab/>
      </w:r>
      <w:r w:rsidRPr="00D82763">
        <w:t>Wszystk</w:t>
      </w:r>
      <w:r w:rsidR="00DC74B0">
        <w:t>ie materiały do wykonania</w:t>
      </w:r>
      <w:r w:rsidR="00B776AE">
        <w:t xml:space="preserve"> instalacji fotowoltaicznej i </w:t>
      </w:r>
      <w:r w:rsidRPr="00D82763">
        <w:t>powinny odpowiadać parametrom technicznym wyspecyfikowanym w dokumentacji projektowej i wykazach materiałowych oraz wymaganiom odpowiednich norm i aprobat technicznych.</w:t>
      </w:r>
    </w:p>
    <w:p w:rsidR="008F1E7F" w:rsidRPr="002129FF" w:rsidRDefault="008F1E7F" w:rsidP="008F1E7F"/>
    <w:p w:rsidR="008F1E7F" w:rsidRPr="004307B8" w:rsidRDefault="008F1E7F" w:rsidP="008F1E7F">
      <w:pPr>
        <w:pStyle w:val="Nagwek2"/>
        <w:numPr>
          <w:ilvl w:val="1"/>
          <w:numId w:val="5"/>
        </w:numPr>
        <w:rPr>
          <w:color w:val="auto"/>
        </w:rPr>
      </w:pPr>
      <w:bookmarkStart w:id="7" w:name="_Toc463817719"/>
      <w:r w:rsidRPr="005E6DC7">
        <w:rPr>
          <w:color w:val="auto"/>
        </w:rPr>
        <w:t>Rodzaje materiałów.</w:t>
      </w:r>
      <w:bookmarkEnd w:id="7"/>
    </w:p>
    <w:p w:rsidR="008F1E7F" w:rsidRDefault="008F1E7F" w:rsidP="008F1E7F">
      <w:pPr>
        <w:pStyle w:val="Nagwek3"/>
        <w:numPr>
          <w:ilvl w:val="2"/>
          <w:numId w:val="5"/>
        </w:numPr>
        <w:rPr>
          <w:color w:val="auto"/>
        </w:rPr>
      </w:pPr>
      <w:bookmarkStart w:id="8" w:name="_Toc463817720"/>
      <w:r w:rsidRPr="00606CA2">
        <w:rPr>
          <w:color w:val="auto"/>
        </w:rPr>
        <w:t>Tablic</w:t>
      </w:r>
      <w:r>
        <w:rPr>
          <w:color w:val="auto"/>
        </w:rPr>
        <w:t>a rozdzielcza.</w:t>
      </w:r>
      <w:bookmarkEnd w:id="8"/>
    </w:p>
    <w:p w:rsidR="003D2843" w:rsidRPr="003D2843" w:rsidRDefault="003D2843" w:rsidP="003D2843">
      <w:pPr>
        <w:rPr>
          <w:sz w:val="4"/>
          <w:szCs w:val="4"/>
        </w:rPr>
      </w:pPr>
    </w:p>
    <w:p w:rsidR="008F1E7F" w:rsidRPr="00317ABC" w:rsidRDefault="008F1E7F" w:rsidP="005A6C4B">
      <w:pPr>
        <w:jc w:val="both"/>
      </w:pPr>
      <w:r>
        <w:tab/>
        <w:t>Wszystkie małogabarytowe elementy układu instalacji (układy zabezpieczające, rozłączniki</w:t>
      </w:r>
      <w:r w:rsidR="00B776AE">
        <w:t>, ochronniki, bezpieczniki</w:t>
      </w:r>
      <w:r>
        <w:t xml:space="preserve"> itp.) umieśc</w:t>
      </w:r>
      <w:r w:rsidR="00B776AE">
        <w:t>ić w tablicach rozdzielczych</w:t>
      </w:r>
      <w:r>
        <w:t>.</w:t>
      </w:r>
    </w:p>
    <w:p w:rsidR="008F1E7F" w:rsidRDefault="008F1E7F" w:rsidP="008F1E7F">
      <w:pPr>
        <w:pStyle w:val="Nagwek3"/>
        <w:numPr>
          <w:ilvl w:val="2"/>
          <w:numId w:val="5"/>
        </w:numPr>
        <w:rPr>
          <w:color w:val="auto"/>
        </w:rPr>
      </w:pPr>
      <w:bookmarkStart w:id="9" w:name="_Toc463817721"/>
      <w:r w:rsidRPr="00606CA2">
        <w:rPr>
          <w:color w:val="auto"/>
        </w:rPr>
        <w:t>Przewody instalacyjne</w:t>
      </w:r>
      <w:r>
        <w:rPr>
          <w:color w:val="auto"/>
        </w:rPr>
        <w:t>.</w:t>
      </w:r>
      <w:bookmarkEnd w:id="9"/>
    </w:p>
    <w:p w:rsidR="003D2843" w:rsidRPr="003D2843" w:rsidRDefault="003D2843" w:rsidP="003D2843">
      <w:pPr>
        <w:rPr>
          <w:sz w:val="4"/>
          <w:szCs w:val="4"/>
        </w:rPr>
      </w:pPr>
    </w:p>
    <w:p w:rsidR="008F1E7F" w:rsidRPr="005753A9" w:rsidRDefault="008F1E7F" w:rsidP="005A6C4B">
      <w:pPr>
        <w:jc w:val="both"/>
      </w:pPr>
      <w:r w:rsidRPr="00CB66C3">
        <w:tab/>
      </w:r>
      <w:r w:rsidRPr="00AC33C3">
        <w:t>Przewody instalacyjne</w:t>
      </w:r>
      <w:r>
        <w:t xml:space="preserve"> po stronie prądu przemiennego</w:t>
      </w:r>
      <w:r w:rsidRPr="00AC33C3">
        <w:t xml:space="preserve"> o izolacji polwinitowej i powłoce polwinitowej na napięcie znamionowe 750V z żyłami miedzianymi o przekroju  </w:t>
      </w:r>
      <w:r w:rsidR="00B776AE">
        <w:t xml:space="preserve">1,5; 2,5; </w:t>
      </w:r>
      <w:r w:rsidRPr="00AC33C3">
        <w:t xml:space="preserve">4 </w:t>
      </w:r>
      <w:r w:rsidR="0033301E">
        <w:t xml:space="preserve"> i 10</w:t>
      </w:r>
      <w:r w:rsidRPr="00AC33C3">
        <w:t>mm</w:t>
      </w:r>
      <w:r w:rsidRPr="00C4225B">
        <w:rPr>
          <w:vertAlign w:val="superscript"/>
        </w:rPr>
        <w:t>2</w:t>
      </w:r>
      <w:r w:rsidRPr="00AC33C3">
        <w:rPr>
          <w:sz w:val="16"/>
          <w:szCs w:val="16"/>
        </w:rPr>
        <w:t xml:space="preserve"> </w:t>
      </w:r>
      <w:r w:rsidRPr="00AC33C3">
        <w:t>i ilości żył</w:t>
      </w:r>
      <w:r w:rsidR="001117F3">
        <w:t xml:space="preserve"> 3 i</w:t>
      </w:r>
      <w:r w:rsidRPr="00AC33C3">
        <w:t xml:space="preserve"> </w:t>
      </w:r>
      <w:r>
        <w:t xml:space="preserve">5. </w:t>
      </w:r>
      <w:r w:rsidRPr="00AC33C3">
        <w:t>Przewody instalacyjne</w:t>
      </w:r>
      <w:r>
        <w:t xml:space="preserve"> po stronie prądu stałego odporne na promieniowanie UV oraz wysoką temperaturę </w:t>
      </w:r>
      <w:r w:rsidR="0033301E">
        <w:t xml:space="preserve">w podwójnej izolacji </w:t>
      </w:r>
      <w:r w:rsidRPr="00AC33C3">
        <w:t xml:space="preserve">na napięcie znamionowe </w:t>
      </w:r>
      <w:r w:rsidR="001117F3">
        <w:t>1</w:t>
      </w:r>
      <w:r>
        <w:t>k</w:t>
      </w:r>
      <w:r w:rsidRPr="00AC33C3">
        <w:t xml:space="preserve">V o przekroju </w:t>
      </w:r>
      <w:r>
        <w:t>4</w:t>
      </w:r>
      <w:r w:rsidRPr="00AC33C3">
        <w:t>mm</w:t>
      </w:r>
      <w:r w:rsidRPr="009C31F4">
        <w:rPr>
          <w:vertAlign w:val="superscript"/>
        </w:rPr>
        <w:t>2</w:t>
      </w:r>
      <w:r>
        <w:t>.</w:t>
      </w:r>
    </w:p>
    <w:p w:rsidR="008F1E7F" w:rsidRDefault="008F1E7F" w:rsidP="008F1E7F">
      <w:pPr>
        <w:pStyle w:val="Nagwek3"/>
        <w:numPr>
          <w:ilvl w:val="2"/>
          <w:numId w:val="5"/>
        </w:numPr>
        <w:rPr>
          <w:color w:val="auto"/>
        </w:rPr>
      </w:pPr>
      <w:bookmarkStart w:id="10" w:name="_Toc463817722"/>
      <w:r w:rsidRPr="00606CA2">
        <w:rPr>
          <w:color w:val="auto"/>
        </w:rPr>
        <w:t>Ograniczniki przepięć</w:t>
      </w:r>
      <w:r>
        <w:rPr>
          <w:color w:val="auto"/>
        </w:rPr>
        <w:t>.</w:t>
      </w:r>
      <w:bookmarkEnd w:id="10"/>
    </w:p>
    <w:p w:rsidR="003D2843" w:rsidRPr="003D2843" w:rsidRDefault="003D2843" w:rsidP="003D2843">
      <w:pPr>
        <w:rPr>
          <w:sz w:val="4"/>
          <w:szCs w:val="4"/>
        </w:rPr>
      </w:pPr>
    </w:p>
    <w:p w:rsidR="008F1E7F" w:rsidRPr="00532393" w:rsidRDefault="008F1E7F" w:rsidP="005A6C4B">
      <w:pPr>
        <w:jc w:val="both"/>
      </w:pPr>
      <w:r>
        <w:tab/>
      </w:r>
      <w:r w:rsidR="001117F3">
        <w:t>Dla instalacji PV s</w:t>
      </w:r>
      <w:r w:rsidRPr="00532393">
        <w:t>tosować ograniczniki podane w dokumentacji technicznej tworzące układ</w:t>
      </w:r>
      <w:r>
        <w:t xml:space="preserve"> </w:t>
      </w:r>
      <w:r w:rsidRPr="00532393">
        <w:t>ochronników drugiego stopnia.</w:t>
      </w:r>
      <w:r>
        <w:t xml:space="preserve"> W przypadku ograniczników prądu stałego zastosować </w:t>
      </w:r>
      <w:r w:rsidR="001117F3">
        <w:t xml:space="preserve">dwa stopnie ograniczników, jeden przy panelach i drugi </w:t>
      </w:r>
      <w:r>
        <w:t>na każdym wejściu fal</w:t>
      </w:r>
      <w:r w:rsidR="00A91990">
        <w:t>ownika o parametrach podanych w </w:t>
      </w:r>
      <w:r>
        <w:t xml:space="preserve">dokumentacji projektowej i dokumentacji ogranicznika. Wyjścia falownika zabezpieczyć ogranicznikami prądu przemiennego pracującymi w układzie </w:t>
      </w:r>
      <w:r w:rsidRPr="00383A06">
        <w:rPr>
          <w:b/>
        </w:rPr>
        <w:t>TN-S</w:t>
      </w:r>
      <w:r w:rsidR="00A91990">
        <w:t xml:space="preserve"> i parametrami takimi jak w </w:t>
      </w:r>
      <w:r>
        <w:t>dokumentacji technicznej i dokumentacji ogranicznika.</w:t>
      </w:r>
    </w:p>
    <w:p w:rsidR="008F1E7F" w:rsidRDefault="008F1E7F" w:rsidP="008F1E7F">
      <w:pPr>
        <w:pStyle w:val="Akapitzlist"/>
        <w:numPr>
          <w:ilvl w:val="2"/>
          <w:numId w:val="5"/>
        </w:numPr>
        <w:spacing w:after="0"/>
        <w:rPr>
          <w:rStyle w:val="Nagwek3Znak"/>
          <w:rFonts w:ascii="Times New Roman" w:eastAsia="Calibri" w:hAnsi="Times New Roman"/>
          <w:bCs w:val="0"/>
          <w:color w:val="auto"/>
        </w:rPr>
      </w:pPr>
      <w:bookmarkStart w:id="11" w:name="_Toc463817723"/>
      <w:r w:rsidRPr="008F1E7F">
        <w:rPr>
          <w:rStyle w:val="Nagwek3Znak"/>
          <w:rFonts w:ascii="Times New Roman" w:eastAsia="Calibri" w:hAnsi="Times New Roman"/>
          <w:bCs w:val="0"/>
          <w:color w:val="auto"/>
        </w:rPr>
        <w:t>Ochrona przetężeniowa.</w:t>
      </w:r>
      <w:bookmarkEnd w:id="11"/>
    </w:p>
    <w:p w:rsidR="003D2843" w:rsidRPr="003D2843" w:rsidRDefault="003D2843" w:rsidP="003D2843">
      <w:pPr>
        <w:pStyle w:val="Akapitzlist"/>
        <w:spacing w:after="0"/>
        <w:ind w:left="1080"/>
        <w:rPr>
          <w:rStyle w:val="Nagwek3Znak"/>
          <w:rFonts w:ascii="Times New Roman" w:eastAsia="Calibri" w:hAnsi="Times New Roman"/>
          <w:bCs w:val="0"/>
          <w:color w:val="auto"/>
          <w:sz w:val="4"/>
          <w:szCs w:val="4"/>
        </w:rPr>
      </w:pPr>
    </w:p>
    <w:p w:rsidR="008F1E7F" w:rsidRDefault="008F1E7F" w:rsidP="005A6C4B">
      <w:pPr>
        <w:spacing w:after="0"/>
        <w:jc w:val="both"/>
      </w:pPr>
      <w:r>
        <w:tab/>
        <w:t>Instalację fotowoltaiczną zabezpieczyć zgodnie z dokumentacją projektową. Instalację zabezpieczyć bezpiecznikami topikowymi</w:t>
      </w:r>
      <w:r w:rsidR="001117F3">
        <w:t xml:space="preserve"> i nadprądowymi</w:t>
      </w:r>
      <w:r>
        <w:t xml:space="preserve"> o parametrach zgodnymi z dokumentacją projektową.</w:t>
      </w:r>
    </w:p>
    <w:p w:rsidR="008F1E7F" w:rsidRPr="008F1E7F" w:rsidRDefault="008F1E7F" w:rsidP="005A6C4B">
      <w:pPr>
        <w:jc w:val="both"/>
        <w:rPr>
          <w:rStyle w:val="Nagwek3Znak"/>
          <w:rFonts w:ascii="Times New Roman" w:eastAsia="Calibri" w:hAnsi="Times New Roman"/>
          <w:bCs w:val="0"/>
          <w:color w:val="auto"/>
        </w:rPr>
      </w:pPr>
      <w:r>
        <w:tab/>
        <w:t>Ochronę przed porażeniem eklektycznym zapewnić poprzez zachowanie odległości izolacyjnych, izolacją roboczą i poprzez samoczynne wyłączanie układu sieciowego wyłącznikami nadmiarowo-prądowymi o parametrach wynikających z dokumentacji technicznej.</w:t>
      </w:r>
    </w:p>
    <w:p w:rsidR="008F1E7F" w:rsidRPr="00744F7E" w:rsidRDefault="008F1E7F" w:rsidP="008F1E7F">
      <w:pPr>
        <w:pStyle w:val="Akapitzlist"/>
        <w:numPr>
          <w:ilvl w:val="2"/>
          <w:numId w:val="5"/>
        </w:numPr>
        <w:spacing w:after="0"/>
        <w:rPr>
          <w:rStyle w:val="Nagwek3Znak"/>
          <w:rFonts w:ascii="Times New Roman" w:eastAsia="Calibri" w:hAnsi="Times New Roman"/>
          <w:b w:val="0"/>
          <w:bCs w:val="0"/>
          <w:color w:val="auto"/>
        </w:rPr>
      </w:pPr>
      <w:bookmarkStart w:id="12" w:name="_Toc463817724"/>
      <w:r w:rsidRPr="0086100F">
        <w:rPr>
          <w:rStyle w:val="Nagwek3Znak"/>
          <w:rFonts w:eastAsia="Calibri"/>
          <w:color w:val="auto"/>
        </w:rPr>
        <w:t>Panele fotowoltaiczne.</w:t>
      </w:r>
      <w:bookmarkEnd w:id="12"/>
    </w:p>
    <w:p w:rsidR="00744F7E" w:rsidRPr="00744F7E" w:rsidRDefault="00744F7E" w:rsidP="00744F7E">
      <w:pPr>
        <w:pStyle w:val="Akapitzlist"/>
        <w:spacing w:after="0"/>
        <w:ind w:left="1080"/>
        <w:rPr>
          <w:rStyle w:val="Nagwek3Znak"/>
          <w:rFonts w:ascii="Times New Roman" w:eastAsia="Calibri" w:hAnsi="Times New Roman"/>
          <w:b w:val="0"/>
          <w:bCs w:val="0"/>
          <w:color w:val="auto"/>
          <w:sz w:val="4"/>
          <w:szCs w:val="4"/>
        </w:rPr>
      </w:pPr>
    </w:p>
    <w:p w:rsidR="003D2843" w:rsidRPr="003D2843" w:rsidRDefault="003D2843" w:rsidP="003D2843">
      <w:pPr>
        <w:pStyle w:val="Akapitzlist"/>
        <w:spacing w:after="0"/>
        <w:ind w:left="1080"/>
        <w:rPr>
          <w:sz w:val="4"/>
          <w:szCs w:val="4"/>
        </w:rPr>
      </w:pPr>
    </w:p>
    <w:p w:rsidR="008F1E7F" w:rsidRDefault="008F1E7F" w:rsidP="005A6C4B">
      <w:pPr>
        <w:spacing w:after="0"/>
        <w:jc w:val="both"/>
      </w:pPr>
      <w:r>
        <w:tab/>
        <w:t xml:space="preserve">Polikrystaliczne moduły fotowoltaiczne wykorzystane w projekcie są obudowane </w:t>
      </w:r>
      <w:r w:rsidR="00744F7E">
        <w:t xml:space="preserve">szkłem </w:t>
      </w:r>
      <w:r w:rsidR="00462062">
        <w:t xml:space="preserve">solarnym  </w:t>
      </w:r>
      <w:r w:rsidR="00744F7E">
        <w:t>3,2mm z trwałą powłoką antyrefleksyjną.</w:t>
      </w:r>
      <w:r w:rsidR="00462062">
        <w:t xml:space="preserve"> </w:t>
      </w:r>
      <w:r>
        <w:t>Gwarancja na produkt powinna wynosić co najmniej 1</w:t>
      </w:r>
      <w:r w:rsidR="00D510AF">
        <w:t>0</w:t>
      </w:r>
      <w:r>
        <w:t xml:space="preserve"> lat, a sprawność modułu nie powinna być mniejsza niż 97% w pierwszym roku a następnie maksymalny spadek sprawności może wynosić 0,7% przez okres 25 lat. Dzięki zastosowanej specjalnej szybie moduł wykorzystany w projekcie charakteryzuje się odpornością na gradobicie – grad o średnicy </w:t>
      </w:r>
      <w:r w:rsidR="00D510AF">
        <w:t>2</w:t>
      </w:r>
      <w:r>
        <w:t>5mm, max szybkość 33,5 m/s</w:t>
      </w:r>
      <w:r w:rsidR="00462062">
        <w:t>(120,6km/h)</w:t>
      </w:r>
      <w:r>
        <w:t>. Moduł powinien posiadać certyfikaty IEC61215 oraz IEC61730</w:t>
      </w:r>
      <w:r w:rsidR="00462062">
        <w:t>, certyfikat MCS oraz ochronę przed dostępem ciał stałych i wody- IP 65</w:t>
      </w:r>
      <w:r>
        <w:t>.</w:t>
      </w:r>
    </w:p>
    <w:p w:rsidR="001117F3" w:rsidRDefault="001117F3" w:rsidP="00633E51">
      <w:pPr>
        <w:spacing w:after="0"/>
        <w:jc w:val="both"/>
      </w:pPr>
    </w:p>
    <w:p w:rsidR="00A91990" w:rsidRDefault="00A91990" w:rsidP="00633E51">
      <w:pPr>
        <w:spacing w:after="0"/>
        <w:jc w:val="both"/>
      </w:pPr>
    </w:p>
    <w:p w:rsidR="008F1E7F" w:rsidRPr="00C74F4D" w:rsidRDefault="008F1E7F" w:rsidP="00633E51">
      <w:pPr>
        <w:spacing w:after="0"/>
        <w:jc w:val="both"/>
      </w:pPr>
      <w:r w:rsidRPr="00C74F4D">
        <w:lastRenderedPageBreak/>
        <w:t>Dane techniczne zastosowanego modułu fotowoltaicznego</w:t>
      </w:r>
      <w:r w:rsidR="005B7E29">
        <w:t xml:space="preserve"> polikrystalicznego</w:t>
      </w:r>
      <w:r w:rsidRPr="00C74F4D">
        <w:t>:</w:t>
      </w:r>
    </w:p>
    <w:tbl>
      <w:tblPr>
        <w:tblW w:w="6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1"/>
        <w:gridCol w:w="1475"/>
        <w:gridCol w:w="1305"/>
      </w:tblGrid>
      <w:tr w:rsidR="008F1E7F" w:rsidTr="00470B8A">
        <w:trPr>
          <w:jc w:val="center"/>
        </w:trPr>
        <w:tc>
          <w:tcPr>
            <w:tcW w:w="3891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  <w:b/>
              </w:rPr>
            </w:pPr>
            <w:r w:rsidRPr="00470B8A">
              <w:rPr>
                <w:rFonts w:ascii="Times New Roman" w:hAnsi="Times New Roman"/>
                <w:b/>
              </w:rPr>
              <w:t>Parametr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  <w:b/>
              </w:rPr>
            </w:pPr>
            <w:r w:rsidRPr="00470B8A">
              <w:rPr>
                <w:rFonts w:ascii="Times New Roman" w:hAnsi="Times New Roman"/>
                <w:b/>
              </w:rPr>
              <w:t>Jednostka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  <w:b/>
              </w:rPr>
            </w:pPr>
            <w:r w:rsidRPr="00470B8A">
              <w:rPr>
                <w:rFonts w:ascii="Times New Roman" w:hAnsi="Times New Roman"/>
                <w:b/>
              </w:rPr>
              <w:t>Wartość</w:t>
            </w:r>
          </w:p>
        </w:tc>
      </w:tr>
      <w:tr w:rsidR="008F1E7F" w:rsidTr="00470B8A">
        <w:trPr>
          <w:jc w:val="center"/>
        </w:trPr>
        <w:tc>
          <w:tcPr>
            <w:tcW w:w="3891" w:type="dxa"/>
            <w:shd w:val="clear" w:color="auto" w:fill="auto"/>
          </w:tcPr>
          <w:p w:rsidR="008F1E7F" w:rsidRPr="00470B8A" w:rsidRDefault="008F1E7F" w:rsidP="00470B8A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Moc nominalna modułu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P</w:t>
            </w:r>
            <w:r w:rsidRPr="00470B8A">
              <w:rPr>
                <w:rFonts w:ascii="Times New Roman" w:hAnsi="Times New Roman"/>
                <w:vertAlign w:val="subscript"/>
              </w:rPr>
              <w:t>max</w:t>
            </w:r>
            <w:r w:rsidRPr="00470B8A">
              <w:rPr>
                <w:rFonts w:ascii="Times New Roman" w:hAnsi="Times New Roman"/>
              </w:rPr>
              <w:t xml:space="preserve"> [W]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right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2</w:t>
            </w:r>
            <w:r w:rsidR="00D510AF">
              <w:rPr>
                <w:rFonts w:ascii="Times New Roman" w:hAnsi="Times New Roman"/>
              </w:rPr>
              <w:t>7</w:t>
            </w:r>
            <w:r w:rsidRPr="00470B8A">
              <w:rPr>
                <w:rFonts w:ascii="Times New Roman" w:hAnsi="Times New Roman"/>
              </w:rPr>
              <w:t>0</w:t>
            </w:r>
          </w:p>
        </w:tc>
      </w:tr>
      <w:tr w:rsidR="008F1E7F" w:rsidTr="00470B8A">
        <w:trPr>
          <w:jc w:val="center"/>
        </w:trPr>
        <w:tc>
          <w:tcPr>
            <w:tcW w:w="3891" w:type="dxa"/>
            <w:shd w:val="clear" w:color="auto" w:fill="auto"/>
          </w:tcPr>
          <w:p w:rsidR="008F1E7F" w:rsidRPr="00470B8A" w:rsidRDefault="008F1E7F" w:rsidP="00470B8A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Napięcie nominale modułu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V</w:t>
            </w:r>
            <w:r w:rsidRPr="00470B8A">
              <w:rPr>
                <w:rFonts w:ascii="Times New Roman" w:hAnsi="Times New Roman"/>
                <w:vertAlign w:val="subscript"/>
              </w:rPr>
              <w:t>mpp</w:t>
            </w:r>
            <w:r w:rsidRPr="00470B8A">
              <w:rPr>
                <w:rFonts w:ascii="Times New Roman" w:hAnsi="Times New Roman"/>
              </w:rPr>
              <w:t xml:space="preserve"> [V]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D510AF" w:rsidP="00470B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</w:tr>
      <w:tr w:rsidR="008F1E7F" w:rsidTr="00470B8A">
        <w:trPr>
          <w:jc w:val="center"/>
        </w:trPr>
        <w:tc>
          <w:tcPr>
            <w:tcW w:w="3891" w:type="dxa"/>
            <w:shd w:val="clear" w:color="auto" w:fill="auto"/>
          </w:tcPr>
          <w:p w:rsidR="008F1E7F" w:rsidRPr="00470B8A" w:rsidRDefault="008F1E7F" w:rsidP="00470B8A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Napięcie przy otwartym obwodzie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V</w:t>
            </w:r>
            <w:r w:rsidRPr="00470B8A">
              <w:rPr>
                <w:rFonts w:ascii="Times New Roman" w:hAnsi="Times New Roman"/>
                <w:vertAlign w:val="subscript"/>
              </w:rPr>
              <w:t>oc</w:t>
            </w:r>
            <w:r w:rsidRPr="00470B8A">
              <w:rPr>
                <w:rFonts w:ascii="Times New Roman" w:hAnsi="Times New Roman"/>
              </w:rPr>
              <w:t xml:space="preserve"> [V]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916507" w:rsidP="00470B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</w:t>
            </w:r>
            <w:r w:rsidR="00D510AF">
              <w:rPr>
                <w:rFonts w:ascii="Times New Roman" w:hAnsi="Times New Roman"/>
              </w:rPr>
              <w:t>85</w:t>
            </w:r>
          </w:p>
        </w:tc>
      </w:tr>
      <w:tr w:rsidR="008F1E7F" w:rsidTr="00470B8A">
        <w:trPr>
          <w:jc w:val="center"/>
        </w:trPr>
        <w:tc>
          <w:tcPr>
            <w:tcW w:w="3891" w:type="dxa"/>
            <w:shd w:val="clear" w:color="auto" w:fill="auto"/>
          </w:tcPr>
          <w:p w:rsidR="008F1E7F" w:rsidRPr="00470B8A" w:rsidRDefault="008F1E7F" w:rsidP="00470B8A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Prąd nominalny modułu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I</w:t>
            </w:r>
            <w:r w:rsidRPr="00470B8A">
              <w:rPr>
                <w:rFonts w:ascii="Times New Roman" w:hAnsi="Times New Roman"/>
                <w:vertAlign w:val="subscript"/>
              </w:rPr>
              <w:t>mpp</w:t>
            </w:r>
            <w:r w:rsidRPr="00470B8A">
              <w:rPr>
                <w:rFonts w:ascii="Times New Roman" w:hAnsi="Times New Roman"/>
              </w:rPr>
              <w:t xml:space="preserve"> [A]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916507" w:rsidP="00470B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="00D510AF">
              <w:rPr>
                <w:rFonts w:ascii="Times New Roman" w:hAnsi="Times New Roman"/>
              </w:rPr>
              <w:t>60</w:t>
            </w:r>
          </w:p>
        </w:tc>
      </w:tr>
      <w:tr w:rsidR="008F1E7F" w:rsidTr="00470B8A">
        <w:trPr>
          <w:jc w:val="center"/>
        </w:trPr>
        <w:tc>
          <w:tcPr>
            <w:tcW w:w="3891" w:type="dxa"/>
            <w:shd w:val="clear" w:color="auto" w:fill="auto"/>
          </w:tcPr>
          <w:p w:rsidR="008F1E7F" w:rsidRPr="00470B8A" w:rsidRDefault="008F1E7F" w:rsidP="00470B8A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Prąd zwarciowy modułu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I</w:t>
            </w:r>
            <w:r w:rsidRPr="00470B8A">
              <w:rPr>
                <w:rFonts w:ascii="Times New Roman" w:hAnsi="Times New Roman"/>
                <w:vertAlign w:val="subscript"/>
              </w:rPr>
              <w:t>sc</w:t>
            </w:r>
            <w:r w:rsidRPr="00470B8A">
              <w:rPr>
                <w:rFonts w:ascii="Times New Roman" w:hAnsi="Times New Roman"/>
              </w:rPr>
              <w:t xml:space="preserve"> [A]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D510AF" w:rsidP="00470B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9.15</w:t>
            </w:r>
          </w:p>
        </w:tc>
      </w:tr>
      <w:tr w:rsidR="008F1E7F" w:rsidTr="00470B8A">
        <w:trPr>
          <w:jc w:val="center"/>
        </w:trPr>
        <w:tc>
          <w:tcPr>
            <w:tcW w:w="3891" w:type="dxa"/>
            <w:shd w:val="clear" w:color="auto" w:fill="auto"/>
          </w:tcPr>
          <w:p w:rsidR="008F1E7F" w:rsidRPr="00470B8A" w:rsidRDefault="008F1E7F" w:rsidP="00470B8A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Długość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mm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916507" w:rsidP="00470B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1640</w:t>
            </w:r>
          </w:p>
        </w:tc>
      </w:tr>
      <w:tr w:rsidR="008F1E7F" w:rsidTr="00470B8A">
        <w:trPr>
          <w:jc w:val="center"/>
        </w:trPr>
        <w:tc>
          <w:tcPr>
            <w:tcW w:w="3891" w:type="dxa"/>
            <w:shd w:val="clear" w:color="auto" w:fill="auto"/>
          </w:tcPr>
          <w:p w:rsidR="008F1E7F" w:rsidRPr="00470B8A" w:rsidRDefault="008F1E7F" w:rsidP="00470B8A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Szerokość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mm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right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992</w:t>
            </w:r>
          </w:p>
        </w:tc>
      </w:tr>
      <w:tr w:rsidR="008F1E7F" w:rsidTr="00470B8A">
        <w:trPr>
          <w:jc w:val="center"/>
        </w:trPr>
        <w:tc>
          <w:tcPr>
            <w:tcW w:w="3891" w:type="dxa"/>
            <w:shd w:val="clear" w:color="auto" w:fill="auto"/>
          </w:tcPr>
          <w:p w:rsidR="008F1E7F" w:rsidRPr="00470B8A" w:rsidRDefault="008F1E7F" w:rsidP="00470B8A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Wysokość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8F1E7F" w:rsidRPr="00470B8A" w:rsidRDefault="008F1E7F" w:rsidP="00470B8A">
            <w:pPr>
              <w:jc w:val="center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mm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8F1E7F" w:rsidRPr="00470B8A" w:rsidRDefault="00916507" w:rsidP="00470B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 w:rsidR="00D57FA8" w:rsidTr="00E87AC5">
        <w:trPr>
          <w:jc w:val="center"/>
        </w:trPr>
        <w:tc>
          <w:tcPr>
            <w:tcW w:w="3891" w:type="dxa"/>
            <w:shd w:val="clear" w:color="auto" w:fill="auto"/>
          </w:tcPr>
          <w:p w:rsidR="00D57FA8" w:rsidRPr="004463E7" w:rsidRDefault="00D57FA8" w:rsidP="00D57FA8">
            <w:pPr>
              <w:rPr>
                <w:rFonts w:ascii="Times New Roman" w:hAnsi="Times New Roman"/>
              </w:rPr>
            </w:pPr>
            <w:r w:rsidRPr="004463E7">
              <w:rPr>
                <w:rFonts w:ascii="Times New Roman" w:hAnsi="Times New Roman"/>
              </w:rPr>
              <w:t>Gwarancja na uzysk paneli</w:t>
            </w:r>
          </w:p>
        </w:tc>
        <w:tc>
          <w:tcPr>
            <w:tcW w:w="1475" w:type="dxa"/>
            <w:shd w:val="clear" w:color="auto" w:fill="auto"/>
          </w:tcPr>
          <w:p w:rsidR="00D57FA8" w:rsidRPr="004463E7" w:rsidRDefault="00D57FA8" w:rsidP="00D57FA8">
            <w:pPr>
              <w:jc w:val="center"/>
              <w:rPr>
                <w:rFonts w:ascii="Times New Roman" w:hAnsi="Times New Roman"/>
              </w:rPr>
            </w:pPr>
            <w:r w:rsidRPr="004463E7">
              <w:rPr>
                <w:rFonts w:ascii="Times New Roman" w:hAnsi="Times New Roman"/>
              </w:rPr>
              <w:t>lat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D57FA8" w:rsidRPr="004463E7" w:rsidRDefault="00D57FA8" w:rsidP="00D57FA8">
            <w:pPr>
              <w:jc w:val="right"/>
              <w:rPr>
                <w:rFonts w:ascii="Times New Roman" w:hAnsi="Times New Roman"/>
              </w:rPr>
            </w:pPr>
            <w:r w:rsidRPr="004463E7">
              <w:rPr>
                <w:rFonts w:ascii="Times New Roman" w:hAnsi="Times New Roman"/>
              </w:rPr>
              <w:t>25</w:t>
            </w:r>
          </w:p>
        </w:tc>
      </w:tr>
      <w:tr w:rsidR="00D57FA8" w:rsidTr="00E87AC5">
        <w:trPr>
          <w:jc w:val="center"/>
        </w:trPr>
        <w:tc>
          <w:tcPr>
            <w:tcW w:w="3891" w:type="dxa"/>
            <w:shd w:val="clear" w:color="auto" w:fill="auto"/>
          </w:tcPr>
          <w:p w:rsidR="00D57FA8" w:rsidRPr="004463E7" w:rsidRDefault="00D57FA8" w:rsidP="00D57FA8">
            <w:pPr>
              <w:rPr>
                <w:rFonts w:ascii="Times New Roman" w:hAnsi="Times New Roman"/>
              </w:rPr>
            </w:pPr>
            <w:r w:rsidRPr="004463E7">
              <w:rPr>
                <w:rFonts w:ascii="Times New Roman" w:hAnsi="Times New Roman"/>
              </w:rPr>
              <w:t>Gwarancja na panele</w:t>
            </w:r>
          </w:p>
        </w:tc>
        <w:tc>
          <w:tcPr>
            <w:tcW w:w="1475" w:type="dxa"/>
            <w:shd w:val="clear" w:color="auto" w:fill="auto"/>
          </w:tcPr>
          <w:p w:rsidR="00D57FA8" w:rsidRPr="004463E7" w:rsidRDefault="00D57FA8" w:rsidP="00D57FA8">
            <w:pPr>
              <w:jc w:val="center"/>
              <w:rPr>
                <w:rFonts w:ascii="Times New Roman" w:hAnsi="Times New Roman"/>
              </w:rPr>
            </w:pPr>
            <w:r w:rsidRPr="004463E7">
              <w:rPr>
                <w:rFonts w:ascii="Times New Roman" w:hAnsi="Times New Roman"/>
              </w:rPr>
              <w:t>lat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D57FA8" w:rsidRPr="004463E7" w:rsidRDefault="00D57FA8" w:rsidP="00D57FA8">
            <w:pPr>
              <w:jc w:val="right"/>
              <w:rPr>
                <w:rFonts w:ascii="Times New Roman" w:hAnsi="Times New Roman"/>
              </w:rPr>
            </w:pPr>
            <w:r w:rsidRPr="004463E7">
              <w:rPr>
                <w:rFonts w:ascii="Times New Roman" w:hAnsi="Times New Roman"/>
              </w:rPr>
              <w:t>10</w:t>
            </w:r>
          </w:p>
        </w:tc>
      </w:tr>
    </w:tbl>
    <w:p w:rsidR="008F1E7F" w:rsidRDefault="008F1E7F" w:rsidP="008F1E7F">
      <w:pPr>
        <w:pStyle w:val="Nagwek3"/>
        <w:numPr>
          <w:ilvl w:val="2"/>
          <w:numId w:val="5"/>
        </w:numPr>
        <w:rPr>
          <w:color w:val="auto"/>
        </w:rPr>
      </w:pPr>
      <w:bookmarkStart w:id="13" w:name="_Toc463817725"/>
      <w:r w:rsidRPr="00606CA2">
        <w:rPr>
          <w:color w:val="auto"/>
        </w:rPr>
        <w:t>Falowniki</w:t>
      </w:r>
      <w:r>
        <w:rPr>
          <w:color w:val="auto"/>
        </w:rPr>
        <w:t>.</w:t>
      </w:r>
      <w:bookmarkEnd w:id="13"/>
    </w:p>
    <w:p w:rsidR="003D2843" w:rsidRPr="003D2843" w:rsidRDefault="003D2843" w:rsidP="003D2843">
      <w:pPr>
        <w:rPr>
          <w:sz w:val="4"/>
          <w:szCs w:val="4"/>
        </w:rPr>
      </w:pPr>
    </w:p>
    <w:p w:rsidR="008F1E7F" w:rsidRPr="00944ED4" w:rsidRDefault="008F1E7F" w:rsidP="005A6C4B">
      <w:pPr>
        <w:jc w:val="both"/>
      </w:pPr>
      <w:r w:rsidRPr="00944ED4">
        <w:tab/>
        <w:t xml:space="preserve">Moduły fotowoltaiczne dostarczają prąd stały natomiast </w:t>
      </w:r>
      <w:r w:rsidR="005B7E29">
        <w:t>inwerter</w:t>
      </w:r>
      <w:r w:rsidRPr="00944ED4">
        <w:t xml:space="preserve"> przekształca prąd stały na z</w:t>
      </w:r>
      <w:r>
        <w:t xml:space="preserve">godny z siecią prąd przemienny </w:t>
      </w:r>
      <w:r w:rsidRPr="00944ED4">
        <w:t xml:space="preserve">z możliwie wysoką wydajnością. </w:t>
      </w:r>
      <w:r w:rsidR="005B7E29">
        <w:t>Inwerter</w:t>
      </w:r>
      <w:r w:rsidRPr="00944ED4">
        <w:t xml:space="preserve"> stale reguluje optymalny punkt eksploatacyjny instalacji dostosowując w ten sposób instalację do dynamicznych warunków pogodowych i nasłonecznienia. Ochronniki przepięciowe w przemienniku częstotliwości chronią moduły i elektronikę przed szkodliwym przepięciem.</w:t>
      </w:r>
    </w:p>
    <w:p w:rsidR="008F1E7F" w:rsidRDefault="008F1E7F" w:rsidP="005A6C4B">
      <w:pPr>
        <w:jc w:val="both"/>
      </w:pPr>
      <w:r w:rsidRPr="00944ED4">
        <w:t>Dane techniczne falowników przewidzianych do projektowanej instalacji:</w:t>
      </w:r>
    </w:p>
    <w:p w:rsidR="00916507" w:rsidRPr="00944ED4" w:rsidRDefault="00916507" w:rsidP="005A6C4B">
      <w:pPr>
        <w:jc w:val="both"/>
      </w:pPr>
    </w:p>
    <w:tbl>
      <w:tblPr>
        <w:tblW w:w="35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9"/>
        <w:gridCol w:w="2972"/>
      </w:tblGrid>
      <w:tr w:rsidR="00AD3F56" w:rsidTr="00470B8A">
        <w:trPr>
          <w:jc w:val="center"/>
        </w:trPr>
        <w:tc>
          <w:tcPr>
            <w:tcW w:w="2789" w:type="pct"/>
            <w:shd w:val="clear" w:color="auto" w:fill="auto"/>
            <w:vAlign w:val="center"/>
          </w:tcPr>
          <w:p w:rsidR="00AD3F56" w:rsidRPr="00470B8A" w:rsidRDefault="00AD3F56" w:rsidP="00141174">
            <w:pPr>
              <w:jc w:val="center"/>
              <w:rPr>
                <w:rFonts w:ascii="Times New Roman" w:hAnsi="Times New Roman"/>
                <w:b/>
              </w:rPr>
            </w:pPr>
            <w:r w:rsidRPr="00470B8A">
              <w:rPr>
                <w:rFonts w:ascii="Times New Roman" w:hAnsi="Times New Roman"/>
                <w:b/>
              </w:rPr>
              <w:t>Parametr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AD3F56" w:rsidP="00141174">
            <w:pPr>
              <w:jc w:val="center"/>
              <w:rPr>
                <w:rFonts w:ascii="Times New Roman" w:hAnsi="Times New Roman"/>
                <w:b/>
              </w:rPr>
            </w:pPr>
            <w:r w:rsidRPr="00470B8A">
              <w:rPr>
                <w:rFonts w:ascii="Times New Roman" w:hAnsi="Times New Roman"/>
                <w:b/>
              </w:rPr>
              <w:t xml:space="preserve">Falownik </w:t>
            </w:r>
            <w:r w:rsidR="00382562">
              <w:rPr>
                <w:rFonts w:ascii="Times New Roman" w:hAnsi="Times New Roman"/>
                <w:b/>
              </w:rPr>
              <w:t>5</w:t>
            </w:r>
            <w:r w:rsidRPr="00470B8A">
              <w:rPr>
                <w:rFonts w:ascii="Times New Roman" w:hAnsi="Times New Roman"/>
                <w:b/>
              </w:rPr>
              <w:t>kW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MPP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1F20E7" w:rsidP="0014117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AD3F56">
              <w:rPr>
                <w:rFonts w:ascii="Times New Roman" w:hAnsi="Times New Roman"/>
              </w:rPr>
              <w:t xml:space="preserve">V - </w:t>
            </w:r>
            <w:r w:rsidR="00D510AF">
              <w:rPr>
                <w:rFonts w:ascii="Times New Roman" w:hAnsi="Times New Roman"/>
              </w:rPr>
              <w:t>80</w:t>
            </w:r>
            <w:r w:rsidR="00AD3F56" w:rsidRPr="00470B8A">
              <w:rPr>
                <w:rFonts w:ascii="Times New Roman" w:hAnsi="Times New Roman"/>
              </w:rPr>
              <w:t>0V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Maksymalne napięcie wejściowe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770556" w:rsidP="0014117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  <w:r w:rsidR="00AD3F56" w:rsidRPr="00470B8A">
              <w:rPr>
                <w:rFonts w:ascii="Times New Roman" w:hAnsi="Times New Roman"/>
              </w:rPr>
              <w:t>V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Maksymalny prąd wejściowy DC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D510AF" w:rsidP="0014117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AD3F56" w:rsidRPr="00470B8A">
              <w:rPr>
                <w:rFonts w:ascii="Times New Roman" w:hAnsi="Times New Roman"/>
              </w:rPr>
              <w:t>A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Maksymalna moc wyjściowa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1F20E7" w:rsidP="0014117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AD3F56">
              <w:rPr>
                <w:rFonts w:ascii="Times New Roman" w:hAnsi="Times New Roman"/>
              </w:rPr>
              <w:t>00</w:t>
            </w:r>
            <w:r w:rsidR="00AD3F56" w:rsidRPr="00470B8A">
              <w:rPr>
                <w:rFonts w:ascii="Times New Roman" w:hAnsi="Times New Roman"/>
              </w:rPr>
              <w:t>W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Maksymalny prąd wyjściowy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4D4454" w:rsidP="0014117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D3F56" w:rsidRPr="00470B8A">
              <w:rPr>
                <w:rFonts w:ascii="Times New Roman" w:hAnsi="Times New Roman"/>
              </w:rPr>
              <w:t>A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Częstotliwość sieci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AD3F56" w:rsidP="00141174">
            <w:pPr>
              <w:jc w:val="right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50Hz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Sprawność maksymalna, Euro-eta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AD3F56" w:rsidP="00141174">
            <w:pPr>
              <w:jc w:val="right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9</w:t>
            </w:r>
            <w:r w:rsidR="00D510AF">
              <w:rPr>
                <w:rFonts w:ascii="Times New Roman" w:hAnsi="Times New Roman"/>
              </w:rPr>
              <w:t>8</w:t>
            </w:r>
            <w:r w:rsidR="00770556">
              <w:rPr>
                <w:rFonts w:ascii="Times New Roman" w:hAnsi="Times New Roman"/>
              </w:rPr>
              <w:t>,</w:t>
            </w:r>
            <w:r w:rsidR="004D4454">
              <w:rPr>
                <w:rFonts w:ascii="Times New Roman" w:hAnsi="Times New Roman"/>
              </w:rPr>
              <w:t>7</w:t>
            </w:r>
            <w:r w:rsidRPr="00470B8A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 xml:space="preserve">, </w:t>
            </w:r>
            <w:r w:rsidR="00770556">
              <w:rPr>
                <w:rFonts w:ascii="Times New Roman" w:hAnsi="Times New Roman"/>
              </w:rPr>
              <w:t>9</w:t>
            </w:r>
            <w:r w:rsidR="004D4454">
              <w:rPr>
                <w:rFonts w:ascii="Times New Roman" w:hAnsi="Times New Roman"/>
              </w:rPr>
              <w:t>8</w:t>
            </w:r>
            <w:r w:rsidR="00770556">
              <w:rPr>
                <w:rFonts w:ascii="Times New Roman" w:hAnsi="Times New Roman"/>
              </w:rPr>
              <w:t>,</w:t>
            </w:r>
            <w:r w:rsidR="004D4454">
              <w:rPr>
                <w:rFonts w:ascii="Times New Roman" w:hAnsi="Times New Roman"/>
              </w:rPr>
              <w:t>2</w:t>
            </w:r>
            <w:r w:rsidRPr="00470B8A">
              <w:rPr>
                <w:rFonts w:ascii="Times New Roman" w:hAnsi="Times New Roman"/>
              </w:rPr>
              <w:t xml:space="preserve">% 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Stopień ochrony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AD3F56" w:rsidP="00141174">
            <w:pPr>
              <w:jc w:val="right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IP</w:t>
            </w:r>
            <w:r w:rsidR="00D510AF">
              <w:rPr>
                <w:rFonts w:ascii="Times New Roman" w:hAnsi="Times New Roman"/>
              </w:rPr>
              <w:t>21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Liczba faz do podłączenia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AD3F56" w:rsidP="00141174">
            <w:pPr>
              <w:jc w:val="right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3</w:t>
            </w:r>
          </w:p>
        </w:tc>
      </w:tr>
      <w:tr w:rsidR="00AD3F56" w:rsidTr="00470B8A">
        <w:trPr>
          <w:jc w:val="center"/>
        </w:trPr>
        <w:tc>
          <w:tcPr>
            <w:tcW w:w="2789" w:type="pct"/>
            <w:shd w:val="clear" w:color="auto" w:fill="auto"/>
          </w:tcPr>
          <w:p w:rsidR="00AD3F56" w:rsidRPr="00470B8A" w:rsidRDefault="00AD3F56" w:rsidP="00141174">
            <w:pPr>
              <w:jc w:val="both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Konektory po stronie DC</w:t>
            </w:r>
          </w:p>
        </w:tc>
        <w:tc>
          <w:tcPr>
            <w:tcW w:w="2211" w:type="pct"/>
            <w:shd w:val="clear" w:color="auto" w:fill="auto"/>
            <w:vAlign w:val="center"/>
          </w:tcPr>
          <w:p w:rsidR="00AD3F56" w:rsidRPr="00470B8A" w:rsidRDefault="00AD3F56" w:rsidP="00141174">
            <w:pPr>
              <w:jc w:val="right"/>
              <w:rPr>
                <w:rFonts w:ascii="Times New Roman" w:hAnsi="Times New Roman"/>
              </w:rPr>
            </w:pPr>
            <w:r w:rsidRPr="00470B8A">
              <w:rPr>
                <w:rFonts w:ascii="Times New Roman" w:hAnsi="Times New Roman"/>
              </w:rPr>
              <w:t>MC4</w:t>
            </w:r>
          </w:p>
        </w:tc>
      </w:tr>
      <w:tr w:rsidR="00D57FA8" w:rsidTr="009C7563">
        <w:trPr>
          <w:jc w:val="center"/>
        </w:trPr>
        <w:tc>
          <w:tcPr>
            <w:tcW w:w="2789" w:type="pct"/>
            <w:shd w:val="clear" w:color="auto" w:fill="auto"/>
          </w:tcPr>
          <w:p w:rsidR="00D57FA8" w:rsidRPr="004463E7" w:rsidRDefault="00D57FA8" w:rsidP="00D57FA8">
            <w:pPr>
              <w:rPr>
                <w:rFonts w:ascii="Times New Roman" w:hAnsi="Times New Roman"/>
              </w:rPr>
            </w:pPr>
            <w:r w:rsidRPr="004463E7">
              <w:rPr>
                <w:rFonts w:ascii="Times New Roman" w:hAnsi="Times New Roman"/>
              </w:rPr>
              <w:t>Gwarancja na inwerter</w:t>
            </w:r>
          </w:p>
        </w:tc>
        <w:tc>
          <w:tcPr>
            <w:tcW w:w="2211" w:type="pct"/>
            <w:shd w:val="clear" w:color="auto" w:fill="auto"/>
          </w:tcPr>
          <w:p w:rsidR="00D57FA8" w:rsidRPr="004463E7" w:rsidRDefault="00D57FA8" w:rsidP="00D57FA8">
            <w:pPr>
              <w:jc w:val="right"/>
              <w:rPr>
                <w:rFonts w:ascii="Times New Roman" w:hAnsi="Times New Roman"/>
              </w:rPr>
            </w:pPr>
            <w:r w:rsidRPr="004463E7">
              <w:rPr>
                <w:rFonts w:ascii="Times New Roman" w:hAnsi="Times New Roman"/>
              </w:rPr>
              <w:t>7 lat</w:t>
            </w:r>
          </w:p>
        </w:tc>
      </w:tr>
    </w:tbl>
    <w:p w:rsidR="00916507" w:rsidRDefault="00916507" w:rsidP="00916507"/>
    <w:p w:rsidR="008F1E7F" w:rsidRDefault="008F1E7F" w:rsidP="008F1E7F">
      <w:pPr>
        <w:pStyle w:val="Nagwek2"/>
        <w:numPr>
          <w:ilvl w:val="1"/>
          <w:numId w:val="5"/>
        </w:numPr>
        <w:rPr>
          <w:color w:val="auto"/>
        </w:rPr>
      </w:pPr>
      <w:bookmarkStart w:id="14" w:name="_Toc463817727"/>
      <w:r w:rsidRPr="005E6DC7">
        <w:rPr>
          <w:color w:val="auto"/>
        </w:rPr>
        <w:lastRenderedPageBreak/>
        <w:t>Odbiór materiałów na budowie</w:t>
      </w:r>
      <w:r>
        <w:rPr>
          <w:color w:val="auto"/>
        </w:rPr>
        <w:t>.</w:t>
      </w:r>
      <w:bookmarkEnd w:id="14"/>
    </w:p>
    <w:p w:rsidR="003D2843" w:rsidRPr="003D2843" w:rsidRDefault="003D2843" w:rsidP="003D2843">
      <w:pPr>
        <w:rPr>
          <w:sz w:val="4"/>
          <w:szCs w:val="4"/>
        </w:rPr>
      </w:pPr>
    </w:p>
    <w:p w:rsidR="008F1E7F" w:rsidRDefault="008F1E7F" w:rsidP="00B079D6">
      <w:pPr>
        <w:jc w:val="both"/>
      </w:pPr>
      <w:r>
        <w:tab/>
      </w:r>
      <w:r w:rsidRPr="00317ABC">
        <w:t>Materiały takie jak: panele fotowoltaiczne, kable łączeniowe paneli, falowniki</w:t>
      </w:r>
      <w:r>
        <w:t xml:space="preserve">, </w:t>
      </w:r>
      <w:r w:rsidRPr="00317ABC">
        <w:t xml:space="preserve">obudowy tablic, aparaturę zabezpieczającą, przewody należy dostarczyć na budowę </w:t>
      </w:r>
      <w:r>
        <w:t xml:space="preserve">wraz </w:t>
      </w:r>
      <w:r w:rsidRPr="00317ABC">
        <w:t>ze świadectwami jakości, wymaganymi atestami, kartami gwarancyjnymi, protokółami</w:t>
      </w:r>
      <w:r>
        <w:t xml:space="preserve"> </w:t>
      </w:r>
      <w:r w:rsidRPr="00317ABC">
        <w:t xml:space="preserve">odbioru technicznego. Dostarczone na miejsce budowy materiały należy sprawdzić </w:t>
      </w:r>
      <w:r>
        <w:t xml:space="preserve">pod </w:t>
      </w:r>
      <w:r w:rsidRPr="00317ABC">
        <w:t>względem kompletności i zgodności z danymi wytwórcy w przypadku stwierdzenia wad</w:t>
      </w:r>
      <w:r>
        <w:t xml:space="preserve"> </w:t>
      </w:r>
      <w:r w:rsidRPr="00317ABC">
        <w:t xml:space="preserve">lub nasuwających się wątpliwości mogących mieć wpływ na jakość </w:t>
      </w:r>
      <w:r>
        <w:t xml:space="preserve">wykonania robót, </w:t>
      </w:r>
      <w:r w:rsidRPr="00317ABC">
        <w:t xml:space="preserve">materiały należy przed ich wbudowaniem poddać </w:t>
      </w:r>
      <w:r>
        <w:t xml:space="preserve">badaniom </w:t>
      </w:r>
      <w:r w:rsidRPr="00317ABC">
        <w:t>określonym przez dozór techniczny robót.</w:t>
      </w:r>
    </w:p>
    <w:p w:rsidR="008F1E7F" w:rsidRPr="00317ABC" w:rsidRDefault="008F1E7F" w:rsidP="008F1E7F"/>
    <w:p w:rsidR="008F1E7F" w:rsidRDefault="008F1E7F" w:rsidP="008F1E7F">
      <w:pPr>
        <w:pStyle w:val="Nagwek2"/>
        <w:numPr>
          <w:ilvl w:val="1"/>
          <w:numId w:val="5"/>
        </w:numPr>
        <w:rPr>
          <w:color w:val="auto"/>
        </w:rPr>
      </w:pPr>
      <w:bookmarkStart w:id="15" w:name="_Toc463817728"/>
      <w:r w:rsidRPr="005E6DC7">
        <w:rPr>
          <w:color w:val="auto"/>
        </w:rPr>
        <w:t>Składowanie materiałów na budowie</w:t>
      </w:r>
      <w:r>
        <w:rPr>
          <w:color w:val="auto"/>
        </w:rPr>
        <w:t>.</w:t>
      </w:r>
      <w:bookmarkEnd w:id="15"/>
    </w:p>
    <w:p w:rsidR="003D2843" w:rsidRPr="003D2843" w:rsidRDefault="003D2843" w:rsidP="003D2843">
      <w:pPr>
        <w:rPr>
          <w:sz w:val="4"/>
          <w:szCs w:val="4"/>
        </w:rPr>
      </w:pPr>
    </w:p>
    <w:p w:rsidR="008F1E7F" w:rsidRDefault="008F1E7F" w:rsidP="00B079D6">
      <w:pPr>
        <w:jc w:val="both"/>
      </w:pPr>
      <w:r>
        <w:tab/>
      </w:r>
      <w:r w:rsidRPr="00317ABC">
        <w:t xml:space="preserve">Składowanie materiałów na budowie powinno odbywać się </w:t>
      </w:r>
      <w:r>
        <w:t xml:space="preserve">zgodnie z zaleceniami </w:t>
      </w:r>
      <w:r w:rsidRPr="00317ABC">
        <w:t>producentów, w warunkach zapobiegających zniszczeniu, uszkodzeniu lub pogorszeniu si</w:t>
      </w:r>
      <w:r>
        <w:t xml:space="preserve">ę </w:t>
      </w:r>
      <w:r w:rsidRPr="00317ABC">
        <w:t>właściwości technicznych na skutek wpływu czynnikó</w:t>
      </w:r>
      <w:r>
        <w:t xml:space="preserve">w atmosferycznych lub </w:t>
      </w:r>
      <w:r w:rsidRPr="00317ABC">
        <w:t>fizykochemicznych, należy zachować wymagania wynikające ze specjalnych właściwoś</w:t>
      </w:r>
      <w:r>
        <w:t xml:space="preserve">ci </w:t>
      </w:r>
      <w:r w:rsidRPr="00317ABC">
        <w:t>materiałów oraz wymagania w zakresie bezpieczeństwa przeciwpożarowego.</w:t>
      </w:r>
    </w:p>
    <w:p w:rsidR="00087AB7" w:rsidRDefault="00087AB7" w:rsidP="00B079D6">
      <w:pPr>
        <w:jc w:val="both"/>
      </w:pPr>
    </w:p>
    <w:p w:rsidR="00087AB7" w:rsidRDefault="00087AB7" w:rsidP="00087AB7">
      <w:pPr>
        <w:jc w:val="both"/>
        <w:rPr>
          <w:sz w:val="24"/>
        </w:rPr>
      </w:pPr>
      <w:r>
        <w:rPr>
          <w:sz w:val="24"/>
        </w:rPr>
        <w:t xml:space="preserve">Zastosowano klasyfikację CPV jednoznacznie określającą w numeracji kodu - grupę (pierwsze trzy cyfry), klasę (pierwsze cztery cyfry ) i kategorię robót ( pierwsze pięć cyfr ) oraz podano nazwę- opis </w:t>
      </w:r>
    </w:p>
    <w:p w:rsidR="00087AB7" w:rsidRDefault="00087AB7" w:rsidP="00087AB7">
      <w:pPr>
        <w:jc w:val="both"/>
        <w:rPr>
          <w:sz w:val="24"/>
        </w:rPr>
      </w:pPr>
    </w:p>
    <w:p w:rsidR="00087AB7" w:rsidRDefault="00087AB7" w:rsidP="00087AB7">
      <w:pPr>
        <w:jc w:val="both"/>
        <w:rPr>
          <w:sz w:val="24"/>
        </w:rPr>
      </w:pPr>
      <w:r>
        <w:rPr>
          <w:sz w:val="24"/>
        </w:rPr>
        <w:tab/>
        <w:t>Kod CPV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Opis</w:t>
      </w:r>
    </w:p>
    <w:p w:rsidR="00087AB7" w:rsidRDefault="00087AB7" w:rsidP="00087AB7">
      <w:pPr>
        <w:jc w:val="both"/>
        <w:rPr>
          <w:sz w:val="24"/>
        </w:rPr>
      </w:pPr>
      <w:r>
        <w:rPr>
          <w:sz w:val="24"/>
        </w:rPr>
        <w:tab/>
      </w:r>
    </w:p>
    <w:p w:rsidR="00087AB7" w:rsidRDefault="00087AB7" w:rsidP="00087AB7">
      <w:pPr>
        <w:jc w:val="both"/>
        <w:rPr>
          <w:sz w:val="24"/>
        </w:rPr>
      </w:pPr>
      <w:r>
        <w:rPr>
          <w:sz w:val="24"/>
        </w:rPr>
        <w:tab/>
        <w:t>45400000-1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Roboty wykończeniowe w zakresie obiektów </w:t>
      </w:r>
    </w:p>
    <w:p w:rsidR="00087AB7" w:rsidRPr="00AD3F56" w:rsidRDefault="00087AB7" w:rsidP="00087AB7">
      <w:pPr>
        <w:jc w:val="both"/>
        <w:rPr>
          <w:sz w:val="24"/>
          <w:szCs w:val="24"/>
        </w:rPr>
      </w:pPr>
      <w:r>
        <w:rPr>
          <w:sz w:val="24"/>
        </w:rPr>
        <w:tab/>
      </w:r>
      <w:r w:rsidRPr="00AD3F56">
        <w:rPr>
          <w:sz w:val="24"/>
          <w:szCs w:val="24"/>
        </w:rPr>
        <w:t>45450000-6</w:t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  <w:t>Roboty budowlane wykończeniowe, pozostałe</w:t>
      </w:r>
    </w:p>
    <w:p w:rsidR="00087AB7" w:rsidRPr="00AD3F56" w:rsidRDefault="00087AB7" w:rsidP="00087AB7">
      <w:pPr>
        <w:jc w:val="both"/>
        <w:rPr>
          <w:sz w:val="24"/>
          <w:szCs w:val="24"/>
        </w:rPr>
      </w:pPr>
      <w:r w:rsidRPr="00AD3F56">
        <w:rPr>
          <w:sz w:val="24"/>
          <w:szCs w:val="24"/>
        </w:rPr>
        <w:tab/>
        <w:t>45300000-0</w:t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  <w:t>Roboty w zakresie instalacji budowlanych</w:t>
      </w:r>
    </w:p>
    <w:p w:rsidR="00087AB7" w:rsidRPr="00AD3F56" w:rsidRDefault="00087AB7" w:rsidP="00087AB7">
      <w:pPr>
        <w:jc w:val="both"/>
        <w:rPr>
          <w:sz w:val="24"/>
          <w:szCs w:val="24"/>
        </w:rPr>
      </w:pPr>
      <w:r w:rsidRPr="00AD3F56">
        <w:rPr>
          <w:sz w:val="24"/>
          <w:szCs w:val="24"/>
        </w:rPr>
        <w:tab/>
        <w:t>45310000-3</w:t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  <w:t>Roboty w zakresie instalacji elektrycznych</w:t>
      </w:r>
    </w:p>
    <w:p w:rsidR="00087AB7" w:rsidRPr="00AD3F56" w:rsidRDefault="00087AB7" w:rsidP="00881956">
      <w:pPr>
        <w:ind w:left="3540" w:hanging="2832"/>
        <w:jc w:val="both"/>
        <w:rPr>
          <w:sz w:val="24"/>
          <w:szCs w:val="24"/>
        </w:rPr>
      </w:pPr>
      <w:r w:rsidRPr="00AD3F56">
        <w:rPr>
          <w:sz w:val="24"/>
          <w:szCs w:val="24"/>
        </w:rPr>
        <w:t>45311200-0,</w:t>
      </w:r>
      <w:r w:rsidRPr="00AD3F56">
        <w:rPr>
          <w:sz w:val="24"/>
          <w:szCs w:val="24"/>
        </w:rPr>
        <w:tab/>
        <w:t xml:space="preserve">Roboty w zakresie przewodów instalacji elektrycznych </w:t>
      </w:r>
    </w:p>
    <w:p w:rsidR="00973611" w:rsidRPr="00AD3F56" w:rsidRDefault="00995D1B" w:rsidP="00973611">
      <w:pPr>
        <w:rPr>
          <w:sz w:val="24"/>
          <w:szCs w:val="24"/>
        </w:rPr>
      </w:pPr>
      <w:r w:rsidRPr="00AD3F56">
        <w:rPr>
          <w:sz w:val="24"/>
          <w:szCs w:val="24"/>
        </w:rPr>
        <w:tab/>
      </w:r>
      <w:r w:rsidR="00973611" w:rsidRPr="00AD3F56">
        <w:rPr>
          <w:sz w:val="24"/>
          <w:szCs w:val="24"/>
        </w:rPr>
        <w:t xml:space="preserve">45261215-4 </w:t>
      </w:r>
      <w:r w:rsidR="00973611" w:rsidRPr="00AD3F56">
        <w:rPr>
          <w:sz w:val="24"/>
          <w:szCs w:val="24"/>
        </w:rPr>
        <w:tab/>
      </w:r>
      <w:r w:rsidR="00973611" w:rsidRPr="00AD3F56">
        <w:rPr>
          <w:sz w:val="24"/>
          <w:szCs w:val="24"/>
        </w:rPr>
        <w:tab/>
      </w:r>
      <w:r w:rsidR="00973611" w:rsidRPr="00AD3F56">
        <w:rPr>
          <w:sz w:val="24"/>
          <w:szCs w:val="24"/>
        </w:rPr>
        <w:tab/>
        <w:t>Pokrywanie dachów panelami ogniw słonecznych</w:t>
      </w:r>
    </w:p>
    <w:p w:rsidR="00973611" w:rsidRPr="00AD3F56" w:rsidRDefault="00973611" w:rsidP="00973611">
      <w:pPr>
        <w:rPr>
          <w:sz w:val="24"/>
          <w:szCs w:val="24"/>
        </w:rPr>
      </w:pPr>
      <w:r w:rsidRPr="00AD3F56">
        <w:rPr>
          <w:sz w:val="24"/>
          <w:szCs w:val="24"/>
        </w:rPr>
        <w:tab/>
        <w:t>45261000-4</w:t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  <w:t xml:space="preserve"> Wykonywanie pokryć i konstrukcji dachowych oraz </w:t>
      </w:r>
    </w:p>
    <w:p w:rsidR="00973611" w:rsidRPr="00AD3F56" w:rsidRDefault="00973611" w:rsidP="00973611">
      <w:pPr>
        <w:rPr>
          <w:sz w:val="24"/>
          <w:szCs w:val="24"/>
        </w:rPr>
      </w:pP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</w:r>
      <w:r w:rsidRPr="00AD3F56">
        <w:rPr>
          <w:sz w:val="24"/>
          <w:szCs w:val="24"/>
        </w:rPr>
        <w:tab/>
        <w:t>podobne roboty</w:t>
      </w:r>
    </w:p>
    <w:p w:rsidR="00995D1B" w:rsidRDefault="00995D1B" w:rsidP="00751255"/>
    <w:p w:rsidR="00087AB7" w:rsidRDefault="00087AB7" w:rsidP="00087AB7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087AB7" w:rsidRDefault="00087AB7" w:rsidP="00087AB7">
      <w:pPr>
        <w:jc w:val="both"/>
        <w:rPr>
          <w:sz w:val="24"/>
        </w:rPr>
      </w:pPr>
      <w:r>
        <w:rPr>
          <w:sz w:val="24"/>
        </w:rPr>
        <w:t xml:space="preserve">Nie ustala się klasyfikacji CPV dla prac tymczasowych związanych z przygotowaniem pomieszczeń remontowanych jako placu budowy oraz ich zabezpieczeniem ze względu na znikomy zakres tych prac. </w:t>
      </w:r>
    </w:p>
    <w:p w:rsidR="008F1E7F" w:rsidRDefault="008F1E7F" w:rsidP="008F1E7F">
      <w:pPr>
        <w:pStyle w:val="Nagwek1"/>
        <w:numPr>
          <w:ilvl w:val="0"/>
          <w:numId w:val="3"/>
        </w:numPr>
        <w:rPr>
          <w:color w:val="auto"/>
        </w:rPr>
      </w:pPr>
      <w:bookmarkStart w:id="16" w:name="_Toc463817729"/>
      <w:r w:rsidRPr="002129FF">
        <w:rPr>
          <w:color w:val="auto"/>
        </w:rPr>
        <w:lastRenderedPageBreak/>
        <w:t>SPRZĘT</w:t>
      </w:r>
      <w:bookmarkEnd w:id="16"/>
    </w:p>
    <w:p w:rsidR="003D2843" w:rsidRPr="003D2843" w:rsidRDefault="003D2843" w:rsidP="003D2843">
      <w:pPr>
        <w:rPr>
          <w:sz w:val="4"/>
          <w:szCs w:val="4"/>
        </w:rPr>
      </w:pPr>
    </w:p>
    <w:p w:rsidR="003D2843" w:rsidRPr="003D2843" w:rsidRDefault="003D2843" w:rsidP="003D2843">
      <w:pPr>
        <w:rPr>
          <w:sz w:val="4"/>
          <w:szCs w:val="4"/>
        </w:rPr>
      </w:pPr>
    </w:p>
    <w:p w:rsidR="008F1E7F" w:rsidRPr="00317ABC" w:rsidRDefault="008F1E7F" w:rsidP="005A6C4B">
      <w:pPr>
        <w:jc w:val="both"/>
      </w:pPr>
      <w:r>
        <w:tab/>
      </w:r>
      <w:r w:rsidRPr="00317ABC">
        <w:t>Wykonawca jest zobowiązany do używania takiego sprzętu który nie spowoduje</w:t>
      </w:r>
      <w:r>
        <w:t xml:space="preserve"> </w:t>
      </w:r>
      <w:r w:rsidRPr="00317ABC">
        <w:t>niekorzystnego wpływu na jakość wykonywanych robót. Prace budowlane będą</w:t>
      </w:r>
      <w:r>
        <w:t xml:space="preserve"> </w:t>
      </w:r>
      <w:r w:rsidRPr="00317ABC">
        <w:t>wykonywane ręcznie, przy użyciu drobnego sprzętu pomocniczego. Sprzęt powinien mie</w:t>
      </w:r>
      <w:r>
        <w:t xml:space="preserve">ć </w:t>
      </w:r>
      <w:r w:rsidR="000A46A9">
        <w:t>ustalone parametry techniczne i </w:t>
      </w:r>
      <w:r w:rsidRPr="00317ABC">
        <w:t xml:space="preserve">powinien być </w:t>
      </w:r>
      <w:r>
        <w:t xml:space="preserve">ustawiony zgodnie z wymaganiami </w:t>
      </w:r>
      <w:r w:rsidRPr="00317ABC">
        <w:t>producenta oraz używany zgodnie z jego przeznaczeniem.</w:t>
      </w:r>
    </w:p>
    <w:p w:rsidR="008F1E7F" w:rsidRDefault="008F1E7F" w:rsidP="008F1E7F">
      <w:pPr>
        <w:pStyle w:val="Nagwek1"/>
        <w:numPr>
          <w:ilvl w:val="0"/>
          <w:numId w:val="3"/>
        </w:numPr>
        <w:rPr>
          <w:color w:val="auto"/>
        </w:rPr>
      </w:pPr>
      <w:bookmarkStart w:id="17" w:name="_Toc463817730"/>
      <w:r w:rsidRPr="002129FF">
        <w:rPr>
          <w:color w:val="auto"/>
        </w:rPr>
        <w:t>TRANSPORT</w:t>
      </w:r>
      <w:bookmarkEnd w:id="17"/>
    </w:p>
    <w:p w:rsidR="003D2843" w:rsidRPr="003D2843" w:rsidRDefault="003D2843" w:rsidP="003D2843"/>
    <w:p w:rsidR="008F1E7F" w:rsidRDefault="008F1E7F" w:rsidP="001F20E7">
      <w:pPr>
        <w:jc w:val="both"/>
      </w:pPr>
      <w:r>
        <w:tab/>
      </w:r>
      <w:r w:rsidRPr="00317ABC">
        <w:t>Materiały na budowę powinny być przewożone odpowiednimi ś</w:t>
      </w:r>
      <w:r>
        <w:t xml:space="preserve">rodkami transportu, </w:t>
      </w:r>
      <w:r w:rsidRPr="00317ABC">
        <w:t>zabezpieczone w sposób zapobiegający uszkodzeni</w:t>
      </w:r>
      <w:r>
        <w:t xml:space="preserve">u oraz zgodnie z przepisami BHP </w:t>
      </w:r>
      <w:r w:rsidRPr="00317ABC">
        <w:t>i ruchu drogowego.</w:t>
      </w:r>
    </w:p>
    <w:p w:rsidR="008F1E7F" w:rsidRPr="002129FF" w:rsidRDefault="008F1E7F" w:rsidP="008F1E7F">
      <w:pPr>
        <w:pStyle w:val="Nagwek1"/>
        <w:numPr>
          <w:ilvl w:val="0"/>
          <w:numId w:val="3"/>
        </w:numPr>
        <w:rPr>
          <w:color w:val="auto"/>
        </w:rPr>
      </w:pPr>
      <w:bookmarkStart w:id="18" w:name="_Toc463817731"/>
      <w:r w:rsidRPr="002129FF">
        <w:rPr>
          <w:color w:val="auto"/>
        </w:rPr>
        <w:t>WYKONANIE ROBÓT</w:t>
      </w:r>
      <w:bookmarkEnd w:id="18"/>
    </w:p>
    <w:p w:rsidR="008F1E7F" w:rsidRDefault="008F1E7F" w:rsidP="008F1E7F">
      <w:pPr>
        <w:pStyle w:val="Nagwek3"/>
        <w:numPr>
          <w:ilvl w:val="1"/>
          <w:numId w:val="6"/>
        </w:numPr>
        <w:rPr>
          <w:color w:val="auto"/>
        </w:rPr>
      </w:pPr>
      <w:bookmarkStart w:id="19" w:name="_Toc463817732"/>
      <w:r w:rsidRPr="00606CA2">
        <w:rPr>
          <w:color w:val="auto"/>
        </w:rPr>
        <w:t>Tablice bezpiecznikowe</w:t>
      </w:r>
      <w:r>
        <w:rPr>
          <w:color w:val="auto"/>
        </w:rPr>
        <w:t>.</w:t>
      </w:r>
      <w:bookmarkEnd w:id="19"/>
    </w:p>
    <w:p w:rsidR="00B079D6" w:rsidRPr="00B079D6" w:rsidRDefault="00B079D6" w:rsidP="00B079D6">
      <w:pPr>
        <w:rPr>
          <w:sz w:val="2"/>
          <w:szCs w:val="2"/>
        </w:rPr>
      </w:pPr>
    </w:p>
    <w:p w:rsidR="008F1E7F" w:rsidRDefault="008F1E7F" w:rsidP="00B079D6">
      <w:pPr>
        <w:jc w:val="both"/>
      </w:pPr>
      <w:r>
        <w:tab/>
        <w:t>E</w:t>
      </w:r>
      <w:r w:rsidRPr="00317ABC">
        <w:t>lementy</w:t>
      </w:r>
      <w:r>
        <w:t xml:space="preserve"> </w:t>
      </w:r>
      <w:r w:rsidRPr="00317ABC">
        <w:t xml:space="preserve">zabezpieczające </w:t>
      </w:r>
      <w:r>
        <w:t>takie jak</w:t>
      </w:r>
      <w:r w:rsidRPr="00317ABC">
        <w:t xml:space="preserve"> rozłączniki bezpiecznikowe, małogabarytowe bezpieczniki,</w:t>
      </w:r>
      <w:r>
        <w:t xml:space="preserve"> </w:t>
      </w:r>
      <w:r w:rsidRPr="00317ABC">
        <w:t>selektywne wyłączniki różnicowoprądowe o działaniu bezpośrednim oraz nadmiarowe</w:t>
      </w:r>
      <w:r>
        <w:t xml:space="preserve"> </w:t>
      </w:r>
      <w:r w:rsidRPr="00317ABC">
        <w:t>wyłączniki instalacyjne</w:t>
      </w:r>
      <w:r>
        <w:t xml:space="preserve"> umieścić w tablicy bezpiecznikowej lub rozdzielczej</w:t>
      </w:r>
      <w:r w:rsidRPr="00317ABC">
        <w:t xml:space="preserve">. Tablice wykonać w układzie </w:t>
      </w:r>
      <w:r w:rsidRPr="00BA58A3">
        <w:rPr>
          <w:b/>
        </w:rPr>
        <w:t>TN-S</w:t>
      </w:r>
      <w:r w:rsidR="004D4454">
        <w:t xml:space="preserve"> z </w:t>
      </w:r>
      <w:r w:rsidRPr="00317ABC">
        <w:t>oddzielnymi szynami PE i N.</w:t>
      </w:r>
    </w:p>
    <w:p w:rsidR="000A46A9" w:rsidRPr="00317ABC" w:rsidRDefault="000A46A9" w:rsidP="00B079D6">
      <w:pPr>
        <w:jc w:val="both"/>
      </w:pPr>
    </w:p>
    <w:p w:rsidR="008F1E7F" w:rsidRDefault="008F1E7F" w:rsidP="008F1E7F">
      <w:pPr>
        <w:pStyle w:val="Nagwek3"/>
        <w:numPr>
          <w:ilvl w:val="1"/>
          <w:numId w:val="6"/>
        </w:numPr>
        <w:rPr>
          <w:color w:val="auto"/>
        </w:rPr>
      </w:pPr>
      <w:bookmarkStart w:id="20" w:name="_Toc463817733"/>
      <w:r w:rsidRPr="00606CA2">
        <w:rPr>
          <w:color w:val="auto"/>
        </w:rPr>
        <w:t>Przewody instalacyjne</w:t>
      </w:r>
      <w:r>
        <w:rPr>
          <w:color w:val="auto"/>
        </w:rPr>
        <w:t>.</w:t>
      </w:r>
      <w:bookmarkEnd w:id="20"/>
    </w:p>
    <w:p w:rsidR="00B079D6" w:rsidRPr="00B079D6" w:rsidRDefault="00B079D6" w:rsidP="00B079D6">
      <w:pPr>
        <w:rPr>
          <w:sz w:val="2"/>
          <w:szCs w:val="2"/>
        </w:rPr>
      </w:pPr>
    </w:p>
    <w:p w:rsidR="008F1E7F" w:rsidRPr="00CB66C3" w:rsidRDefault="008F1E7F" w:rsidP="00B079D6">
      <w:pPr>
        <w:jc w:val="both"/>
      </w:pPr>
      <w:r w:rsidRPr="00CB66C3">
        <w:tab/>
        <w:t>Okablowanie po stronie DC dostosowane do w</w:t>
      </w:r>
      <w:r>
        <w:t xml:space="preserve">ymogów instalacji PV. Odpory na </w:t>
      </w:r>
      <w:r w:rsidRPr="00CB66C3">
        <w:t>promienie UV</w:t>
      </w:r>
      <w:r w:rsidR="00B079D6">
        <w:t xml:space="preserve"> </w:t>
      </w:r>
      <w:r w:rsidRPr="00CB66C3">
        <w:t xml:space="preserve">oraz wysoką temperaturę </w:t>
      </w:r>
      <w:r w:rsidR="00B079D6">
        <w:t>w podwójnej izolacji</w:t>
      </w:r>
      <w:r w:rsidRPr="00CB66C3">
        <w:t>. Przekrój kabla</w:t>
      </w:r>
      <w:r>
        <w:t xml:space="preserve"> </w:t>
      </w:r>
      <w:r w:rsidR="00B079D6">
        <w:t>4</w:t>
      </w:r>
      <w:r>
        <w:t>mm</w:t>
      </w:r>
      <w:r>
        <w:rPr>
          <w:vertAlign w:val="superscript"/>
        </w:rPr>
        <w:t>2</w:t>
      </w:r>
      <w:r w:rsidRPr="00CB66C3">
        <w:t xml:space="preserve"> </w:t>
      </w:r>
      <w:r>
        <w:t>zgod</w:t>
      </w:r>
      <w:r w:rsidR="00633E51">
        <w:t>ny z </w:t>
      </w:r>
      <w:r>
        <w:t xml:space="preserve">dokumentacją techniczną. Trasy </w:t>
      </w:r>
      <w:r w:rsidRPr="00CB66C3">
        <w:t xml:space="preserve">kablowe na dachu prowadzić </w:t>
      </w:r>
      <w:r>
        <w:t>pod panelami fotowoltaicznymi przyczepiając je do konstrukcji nośnej</w:t>
      </w:r>
      <w:r w:rsidRPr="00CB66C3">
        <w:t xml:space="preserve">. </w:t>
      </w:r>
      <w:r>
        <w:t>Trasy kablowe wewnątrz budynków</w:t>
      </w:r>
      <w:r w:rsidR="00360A44">
        <w:t xml:space="preserve"> </w:t>
      </w:r>
      <w:r w:rsidRPr="00CB66C3">
        <w:t>prowadzić w rurkach osłonowych</w:t>
      </w:r>
      <w:r w:rsidR="00360A44">
        <w:t xml:space="preserve"> lub korytach elektroinstalacyjnych</w:t>
      </w:r>
      <w:r w:rsidRPr="00CB66C3">
        <w:t>.</w:t>
      </w:r>
      <w:r w:rsidR="00B079D6">
        <w:t xml:space="preserve"> W miejscu narażonym na promieniowanie słoneczne kabel chronić w rurze odpornej na UV o średnicy dostosowanej do ilości żył.</w:t>
      </w:r>
    </w:p>
    <w:p w:rsidR="008F1E7F" w:rsidRPr="00CB66C3" w:rsidRDefault="008F1E7F" w:rsidP="00B079D6">
      <w:pPr>
        <w:jc w:val="both"/>
      </w:pPr>
      <w:r>
        <w:tab/>
      </w:r>
      <w:r w:rsidRPr="00CB66C3">
        <w:t>Do łączenia szeregowego modułów należy stosować kable j</w:t>
      </w:r>
      <w:r>
        <w:t xml:space="preserve">ednożyłowe giętkie w specjalnej </w:t>
      </w:r>
      <w:r w:rsidRPr="00CB66C3">
        <w:t>izolacji do stosowania w systemach fotowoltaicznych.</w:t>
      </w:r>
      <w:r w:rsidR="00B079D6">
        <w:t xml:space="preserve"> </w:t>
      </w:r>
      <w:r w:rsidRPr="00CB66C3">
        <w:t>Do przewodów stosować systemowe akcesoria łączeniowe</w:t>
      </w:r>
      <w:r>
        <w:t xml:space="preserve">: </w:t>
      </w:r>
      <w:r w:rsidRPr="00CB66C3">
        <w:t>dławiki, złącza, wtyki, itp.</w:t>
      </w:r>
      <w:r w:rsidR="00B079D6">
        <w:t xml:space="preserve">  </w:t>
      </w:r>
      <w:r w:rsidRPr="00CB66C3">
        <w:t>Stosowane przewody muszą spełniać następujące wymagania:</w:t>
      </w:r>
    </w:p>
    <w:p w:rsidR="008F1E7F" w:rsidRPr="00881956" w:rsidRDefault="008F1E7F" w:rsidP="00B079D6">
      <w:pPr>
        <w:spacing w:after="0"/>
        <w:jc w:val="both"/>
      </w:pPr>
      <w:r w:rsidRPr="00881956">
        <w:t>-napięcie robocze systemu fotowol</w:t>
      </w:r>
      <w:r w:rsidR="00360A44" w:rsidRPr="00881956">
        <w:t>taicznego do 1</w:t>
      </w:r>
      <w:r w:rsidRPr="00881956">
        <w:t>kV DC</w:t>
      </w:r>
    </w:p>
    <w:p w:rsidR="008F1E7F" w:rsidRPr="00881956" w:rsidRDefault="008F1E7F" w:rsidP="00B079D6">
      <w:pPr>
        <w:spacing w:after="0"/>
        <w:jc w:val="both"/>
      </w:pPr>
      <w:r w:rsidRPr="00881956">
        <w:t>-temperatura pracy od -40°C do</w:t>
      </w:r>
      <w:r w:rsidR="00881956" w:rsidRPr="00881956">
        <w:t xml:space="preserve"> </w:t>
      </w:r>
      <w:r w:rsidRPr="00881956">
        <w:t>+120°C</w:t>
      </w:r>
    </w:p>
    <w:p w:rsidR="008F1E7F" w:rsidRPr="00881956" w:rsidRDefault="008F1E7F" w:rsidP="00B079D6">
      <w:pPr>
        <w:spacing w:after="0"/>
        <w:jc w:val="both"/>
      </w:pPr>
      <w:r w:rsidRPr="00881956">
        <w:t>-odporność na promieniowanie UV i ozon</w:t>
      </w:r>
      <w:r w:rsidR="00B079D6" w:rsidRPr="00881956">
        <w:t>,</w:t>
      </w:r>
    </w:p>
    <w:p w:rsidR="008F1E7F" w:rsidRPr="00881956" w:rsidRDefault="008F1E7F" w:rsidP="00B079D6">
      <w:pPr>
        <w:spacing w:after="0"/>
        <w:jc w:val="both"/>
      </w:pPr>
      <w:r w:rsidRPr="00881956">
        <w:t>-odporność na środowisko kwaśne i warunki atmosferyczne (wiatr, deszcz)</w:t>
      </w:r>
    </w:p>
    <w:p w:rsidR="008F1E7F" w:rsidRDefault="008F1E7F" w:rsidP="00B079D6">
      <w:pPr>
        <w:jc w:val="both"/>
      </w:pPr>
      <w:r>
        <w:tab/>
      </w:r>
      <w:r w:rsidRPr="00CB66C3">
        <w:t>Po stronie AC stosować przewody wielożyłowe miedziane</w:t>
      </w:r>
      <w:r>
        <w:t xml:space="preserve"> Y</w:t>
      </w:r>
      <w:r w:rsidR="001151FA">
        <w:t>D</w:t>
      </w:r>
      <w:r>
        <w:t>Y</w:t>
      </w:r>
      <w:r w:rsidRPr="00CB66C3">
        <w:t xml:space="preserve"> w układzie TN-S w</w:t>
      </w:r>
      <w:r>
        <w:t xml:space="preserve"> </w:t>
      </w:r>
      <w:r w:rsidRPr="00CB66C3">
        <w:t>izolacji i</w:t>
      </w:r>
      <w:r w:rsidR="00633E51">
        <w:t> </w:t>
      </w:r>
      <w:r w:rsidRPr="00CB66C3">
        <w:t>osłonie polwinitowej 450/750V.</w:t>
      </w:r>
      <w:r>
        <w:t xml:space="preserve"> </w:t>
      </w:r>
      <w:r w:rsidRPr="00CB66C3">
        <w:t>Przekroje przewodów dobrać zgodnie z dokumentacją projektową.</w:t>
      </w:r>
    </w:p>
    <w:p w:rsidR="008F1E7F" w:rsidRDefault="008F1E7F" w:rsidP="008F1E7F">
      <w:r>
        <w:tab/>
      </w:r>
    </w:p>
    <w:p w:rsidR="001F20E7" w:rsidRDefault="001F20E7" w:rsidP="008F1E7F"/>
    <w:p w:rsidR="001F20E7" w:rsidRDefault="001F20E7" w:rsidP="008F1E7F">
      <w:bookmarkStart w:id="21" w:name="_GoBack"/>
      <w:bookmarkEnd w:id="21"/>
    </w:p>
    <w:p w:rsidR="008F1E7F" w:rsidRDefault="008F1E7F" w:rsidP="005A6C4B">
      <w:pPr>
        <w:jc w:val="both"/>
      </w:pPr>
      <w:r>
        <w:lastRenderedPageBreak/>
        <w:tab/>
        <w:t xml:space="preserve"> </w:t>
      </w:r>
      <w:r w:rsidRPr="00B55126">
        <w:t>Obudowa szafy wykonana musi być w II klasie izolacji. Należy zapewnić odpowiednią przestrzeń i wentylację w szafie z uwzględnieniem nagrzewania się urządzeń.</w:t>
      </w:r>
      <w:r w:rsidR="00B55126">
        <w:t xml:space="preserve"> </w:t>
      </w:r>
      <w:r w:rsidRPr="00CB66C3">
        <w:t>Opcjonalnie dopuszcza się w miejscach chronionych przed dostępem osób niepowołanych montaż urządzeń bezpośrednio na ścianie</w:t>
      </w:r>
      <w:r>
        <w:t xml:space="preserve"> lub na konstrukcji wsporczej.</w:t>
      </w:r>
      <w:r w:rsidRPr="00CB66C3">
        <w:t xml:space="preserve"> Jako rozdzielnice stosować obudowy natynkowe modułowe w II klasie izolacji z drzwiczkami prze</w:t>
      </w:r>
      <w:r w:rsidR="00360A44">
        <w:t>zroczystymi</w:t>
      </w:r>
      <w:r w:rsidRPr="00CB66C3">
        <w:t xml:space="preserve">. </w:t>
      </w:r>
    </w:p>
    <w:p w:rsidR="008F1E7F" w:rsidRPr="008F1E7F" w:rsidRDefault="008F1E7F" w:rsidP="008F1E7F">
      <w:pPr>
        <w:pStyle w:val="Akapitzlist"/>
        <w:spacing w:after="0"/>
        <w:rPr>
          <w:rStyle w:val="Nagwek3Znak"/>
          <w:rFonts w:ascii="Times New Roman" w:eastAsia="Calibri" w:hAnsi="Times New Roman"/>
          <w:b w:val="0"/>
          <w:bCs w:val="0"/>
          <w:color w:val="auto"/>
        </w:rPr>
      </w:pPr>
    </w:p>
    <w:p w:rsidR="008F1E7F" w:rsidRPr="00B55126" w:rsidRDefault="008F1E7F" w:rsidP="008F1E7F">
      <w:pPr>
        <w:pStyle w:val="Akapitzlist"/>
        <w:numPr>
          <w:ilvl w:val="1"/>
          <w:numId w:val="6"/>
        </w:numPr>
        <w:spacing w:after="0"/>
        <w:rPr>
          <w:rStyle w:val="Nagwek3Znak"/>
          <w:rFonts w:ascii="Times New Roman" w:eastAsia="Calibri" w:hAnsi="Times New Roman"/>
          <w:b w:val="0"/>
          <w:bCs w:val="0"/>
          <w:color w:val="auto"/>
        </w:rPr>
      </w:pPr>
      <w:bookmarkStart w:id="22" w:name="_Toc463817734"/>
      <w:r w:rsidRPr="00AA1732">
        <w:rPr>
          <w:rStyle w:val="Nagwek3Znak"/>
          <w:rFonts w:eastAsia="Calibri"/>
          <w:color w:val="auto"/>
        </w:rPr>
        <w:t>Panele fotowoltaiczne.</w:t>
      </w:r>
      <w:bookmarkEnd w:id="22"/>
    </w:p>
    <w:p w:rsidR="00B55126" w:rsidRPr="00B55126" w:rsidRDefault="00B55126" w:rsidP="00B55126">
      <w:pPr>
        <w:pStyle w:val="Akapitzlist"/>
        <w:spacing w:after="0"/>
        <w:rPr>
          <w:sz w:val="4"/>
          <w:szCs w:val="4"/>
        </w:rPr>
      </w:pPr>
    </w:p>
    <w:p w:rsidR="008F1E7F" w:rsidRPr="0031696D" w:rsidRDefault="008F1E7F" w:rsidP="005A6C4B">
      <w:pPr>
        <w:spacing w:after="0"/>
        <w:jc w:val="both"/>
      </w:pPr>
      <w:r w:rsidRPr="0031696D">
        <w:tab/>
        <w:t xml:space="preserve">Ogniwa montować na </w:t>
      </w:r>
      <w:r>
        <w:t>konstrukcji wsporczej</w:t>
      </w:r>
      <w:r w:rsidR="00B55126">
        <w:t xml:space="preserve"> zgodnie z</w:t>
      </w:r>
      <w:r w:rsidRPr="0031696D">
        <w:t xml:space="preserve"> do</w:t>
      </w:r>
      <w:r w:rsidR="00B55126">
        <w:t>kumentacją projektową</w:t>
      </w:r>
      <w:r w:rsidRPr="0031696D">
        <w:t xml:space="preserve"> i instrukcją montażu producenta. Połączenia elektryczne wykonać prz</w:t>
      </w:r>
      <w:r>
        <w:t xml:space="preserve">ewodem odpornym na promienie UV. </w:t>
      </w:r>
      <w:r w:rsidRPr="0031696D">
        <w:t>Do połączeń wykorzystać łączniki wtykowe (np. SUNCLIX  firmy Phoenix Contact). Właściwie oznaczyć polaryzację strony DC czerwonym</w:t>
      </w:r>
      <w:r>
        <w:t xml:space="preserve"> (+) oraz czarnym (-) przewodem jak i również oznaczyć połączenia szeregowe i równoległe.</w:t>
      </w:r>
    </w:p>
    <w:p w:rsidR="008F1E7F" w:rsidRDefault="008F1E7F" w:rsidP="008F1E7F">
      <w:pPr>
        <w:pStyle w:val="Nagwek3"/>
        <w:numPr>
          <w:ilvl w:val="1"/>
          <w:numId w:val="6"/>
        </w:numPr>
        <w:rPr>
          <w:color w:val="auto"/>
        </w:rPr>
      </w:pPr>
      <w:bookmarkStart w:id="23" w:name="_Toc463817735"/>
      <w:r w:rsidRPr="00606CA2">
        <w:rPr>
          <w:color w:val="auto"/>
        </w:rPr>
        <w:t>Falowniki</w:t>
      </w:r>
      <w:r>
        <w:rPr>
          <w:color w:val="auto"/>
        </w:rPr>
        <w:t>.</w:t>
      </w:r>
      <w:bookmarkEnd w:id="23"/>
    </w:p>
    <w:p w:rsidR="00B55126" w:rsidRPr="00B55126" w:rsidRDefault="00B55126" w:rsidP="00B55126">
      <w:pPr>
        <w:rPr>
          <w:sz w:val="4"/>
          <w:szCs w:val="4"/>
        </w:rPr>
      </w:pPr>
    </w:p>
    <w:p w:rsidR="008F1E7F" w:rsidRPr="00E25035" w:rsidRDefault="008F1E7F" w:rsidP="005A6C4B">
      <w:pPr>
        <w:jc w:val="both"/>
      </w:pPr>
      <w:r>
        <w:tab/>
      </w:r>
      <w:r w:rsidRPr="00E25035">
        <w:t>Połączenie od falownika do rozdzielni głównej wykonać zgodnie ze schematem dokumentacji projektowej.</w:t>
      </w:r>
    </w:p>
    <w:p w:rsidR="008F1E7F" w:rsidRDefault="008F1E7F" w:rsidP="008F1E7F">
      <w:pPr>
        <w:pStyle w:val="Nagwek3"/>
        <w:numPr>
          <w:ilvl w:val="1"/>
          <w:numId w:val="6"/>
        </w:numPr>
        <w:rPr>
          <w:color w:val="auto"/>
        </w:rPr>
      </w:pPr>
      <w:bookmarkStart w:id="24" w:name="_Toc463817736"/>
      <w:r w:rsidRPr="00606CA2">
        <w:rPr>
          <w:color w:val="auto"/>
        </w:rPr>
        <w:t>Konstrukcja nośna</w:t>
      </w:r>
      <w:r>
        <w:rPr>
          <w:color w:val="auto"/>
        </w:rPr>
        <w:t>.</w:t>
      </w:r>
      <w:bookmarkEnd w:id="24"/>
    </w:p>
    <w:p w:rsidR="00B55126" w:rsidRPr="00B55126" w:rsidRDefault="00B55126" w:rsidP="00B55126">
      <w:pPr>
        <w:rPr>
          <w:sz w:val="4"/>
          <w:szCs w:val="4"/>
        </w:rPr>
      </w:pPr>
    </w:p>
    <w:p w:rsidR="008F1E7F" w:rsidRDefault="008F1E7F" w:rsidP="005A6C4B">
      <w:pPr>
        <w:jc w:val="both"/>
      </w:pPr>
      <w:r>
        <w:tab/>
        <w:t xml:space="preserve">Konstrukcje wykonać zgodnie z odnośnymi rysunkami projektowymi. Całość konstrukcji cynkowana ogniowo. Konstrukcja w miejscach połączeń elementów skręcana za pomocą śrub gwintowanych z podkładką zapobiegającą odkręcaniu na skutek drgań. Dopuszcza się łączenie konstrukcji za pomocą śrub samogwintujących. Kotwienie konstrukcji do podłoża zgodnie z </w:t>
      </w:r>
      <w:r w:rsidR="00B55126">
        <w:t xml:space="preserve">typowymi rozwiązanymi z </w:t>
      </w:r>
      <w:r>
        <w:t xml:space="preserve"> uwzględnieniem specyfiki indywidualnej lokalizacji.</w:t>
      </w:r>
    </w:p>
    <w:p w:rsidR="0081648D" w:rsidRDefault="0081648D" w:rsidP="005A6C4B">
      <w:pPr>
        <w:jc w:val="both"/>
      </w:pPr>
    </w:p>
    <w:p w:rsidR="008F1E7F" w:rsidRPr="0081648D" w:rsidRDefault="008F1E7F" w:rsidP="0081648D">
      <w:pPr>
        <w:pStyle w:val="Nagwek3"/>
        <w:numPr>
          <w:ilvl w:val="1"/>
          <w:numId w:val="6"/>
        </w:numPr>
        <w:rPr>
          <w:color w:val="auto"/>
        </w:rPr>
      </w:pPr>
      <w:bookmarkStart w:id="25" w:name="_Toc463817738"/>
      <w:r w:rsidRPr="0081648D">
        <w:rPr>
          <w:color w:val="auto"/>
        </w:rPr>
        <w:t>Instalacja odgromowa.</w:t>
      </w:r>
      <w:bookmarkEnd w:id="25"/>
    </w:p>
    <w:p w:rsidR="00B55126" w:rsidRPr="00B55126" w:rsidRDefault="00B55126" w:rsidP="00B55126">
      <w:pPr>
        <w:rPr>
          <w:sz w:val="4"/>
          <w:szCs w:val="4"/>
        </w:rPr>
      </w:pPr>
    </w:p>
    <w:p w:rsidR="008F1E7F" w:rsidRDefault="008F1E7F" w:rsidP="005A6C4B">
      <w:pPr>
        <w:jc w:val="both"/>
      </w:pPr>
      <w:r>
        <w:tab/>
      </w:r>
      <w:r w:rsidR="00360A44">
        <w:t>Istniejącą instalację odgromową należy sprawdzić, pod względem skuteczności ochrony odgromowej. Połączenia instalacji wyczyścić i zabezpieczyć przed korozją</w:t>
      </w:r>
      <w:r>
        <w:t>.</w:t>
      </w:r>
      <w:r w:rsidR="00360A44">
        <w:t xml:space="preserve"> Wykonać pomiary instalacji odgromowej. W przypadku </w:t>
      </w:r>
      <w:r w:rsidR="00E37FF3">
        <w:t>negatywnych wyników należy instalację rozbudować, aż do zach</w:t>
      </w:r>
      <w:r w:rsidR="003626AF">
        <w:t>owania żądanych parametrów.</w:t>
      </w:r>
    </w:p>
    <w:p w:rsidR="008F1E7F" w:rsidRDefault="008F1E7F" w:rsidP="008F1E7F">
      <w:pPr>
        <w:pStyle w:val="Nagwek1"/>
        <w:numPr>
          <w:ilvl w:val="0"/>
          <w:numId w:val="3"/>
        </w:numPr>
        <w:rPr>
          <w:color w:val="auto"/>
        </w:rPr>
      </w:pPr>
      <w:bookmarkStart w:id="26" w:name="_Toc463817739"/>
      <w:r w:rsidRPr="002129FF">
        <w:rPr>
          <w:color w:val="auto"/>
        </w:rPr>
        <w:t>KONTROLA JAKOŚCI ROBÓT</w:t>
      </w:r>
      <w:bookmarkEnd w:id="26"/>
    </w:p>
    <w:p w:rsidR="00470B8A" w:rsidRPr="00470B8A" w:rsidRDefault="00470B8A" w:rsidP="00470B8A">
      <w:pPr>
        <w:rPr>
          <w:sz w:val="4"/>
          <w:szCs w:val="4"/>
        </w:rPr>
      </w:pPr>
    </w:p>
    <w:p w:rsidR="008F1E7F" w:rsidRDefault="008F1E7F" w:rsidP="005A6C4B">
      <w:pPr>
        <w:jc w:val="both"/>
      </w:pPr>
      <w:r>
        <w:tab/>
      </w:r>
      <w:r w:rsidRPr="00317ABC">
        <w:t>Sprawdzenie i odbiór robót powinno być wykonane zgodnie z obowiązują</w:t>
      </w:r>
      <w:r>
        <w:t xml:space="preserve">cymi </w:t>
      </w:r>
      <w:r w:rsidRPr="00317ABC">
        <w:t>normami. Sprawdzeniu i kontroli w czasie wykonywania robót oraz po ich zakoń</w:t>
      </w:r>
      <w:r>
        <w:t xml:space="preserve">czeniu </w:t>
      </w:r>
      <w:r w:rsidRPr="00317ABC">
        <w:t>powinno podlegać:</w:t>
      </w:r>
    </w:p>
    <w:p w:rsidR="008F1E7F" w:rsidRPr="00317ABC" w:rsidRDefault="008F1E7F" w:rsidP="005A6C4B">
      <w:pPr>
        <w:jc w:val="both"/>
      </w:pPr>
      <w:r w:rsidRPr="00317ABC">
        <w:t>- zgodność wykonania robót z dokumentacją projektową</w:t>
      </w:r>
    </w:p>
    <w:p w:rsidR="008F1E7F" w:rsidRDefault="00470B8A" w:rsidP="005A6C4B">
      <w:pPr>
        <w:jc w:val="both"/>
      </w:pPr>
      <w:r>
        <w:t>- właściwe podłączenie przewodów „+”, „-”, fazowych</w:t>
      </w:r>
      <w:r w:rsidR="008F1E7F" w:rsidRPr="00317ABC">
        <w:t xml:space="preserve"> i neutralnego</w:t>
      </w:r>
      <w:r>
        <w:t xml:space="preserve"> i ochronnego</w:t>
      </w:r>
      <w:r w:rsidR="008F1E7F" w:rsidRPr="00317ABC">
        <w:t>, wykonanie p</w:t>
      </w:r>
      <w:r w:rsidR="008F1E7F">
        <w:t xml:space="preserve">omiarów rezystancji uziemienia, </w:t>
      </w:r>
      <w:r w:rsidR="008F1E7F" w:rsidRPr="00317ABC">
        <w:t>izolacji, pomiarów skutecznoś</w:t>
      </w:r>
      <w:r w:rsidR="008F1E7F">
        <w:t xml:space="preserve">ci </w:t>
      </w:r>
      <w:r w:rsidR="008F1E7F" w:rsidRPr="00317ABC">
        <w:t>ochrony przeciwporażeniowej z</w:t>
      </w:r>
      <w:r w:rsidR="00633E51">
        <w:t> </w:t>
      </w:r>
      <w:r w:rsidR="008F1E7F" w:rsidRPr="00317ABC">
        <w:t>przekazaniem wyników do protokołu odbioru.</w:t>
      </w:r>
    </w:p>
    <w:p w:rsidR="00692716" w:rsidRDefault="00692716" w:rsidP="005A6C4B">
      <w:pPr>
        <w:jc w:val="both"/>
      </w:pPr>
    </w:p>
    <w:p w:rsidR="008F1E7F" w:rsidRDefault="008F1E7F" w:rsidP="008F1E7F">
      <w:pPr>
        <w:pStyle w:val="Nagwek1"/>
        <w:numPr>
          <w:ilvl w:val="0"/>
          <w:numId w:val="3"/>
        </w:numPr>
        <w:ind w:left="426" w:hanging="426"/>
        <w:rPr>
          <w:color w:val="auto"/>
        </w:rPr>
      </w:pPr>
      <w:bookmarkStart w:id="27" w:name="_Toc463817740"/>
      <w:r w:rsidRPr="002129FF">
        <w:rPr>
          <w:color w:val="auto"/>
        </w:rPr>
        <w:lastRenderedPageBreak/>
        <w:t>OBMIAR ROBÓT</w:t>
      </w:r>
      <w:bookmarkEnd w:id="27"/>
    </w:p>
    <w:p w:rsidR="00470B8A" w:rsidRPr="00470B8A" w:rsidRDefault="00470B8A" w:rsidP="00470B8A"/>
    <w:p w:rsidR="008F1E7F" w:rsidRPr="00317ABC" w:rsidRDefault="008F1E7F" w:rsidP="005A6C4B">
      <w:pPr>
        <w:jc w:val="both"/>
      </w:pPr>
      <w:r>
        <w:tab/>
      </w:r>
      <w:r w:rsidRPr="00317ABC">
        <w:t>Obmiar robót obejmuje całość instalacji elektroenergetycznych. Jednostk</w:t>
      </w:r>
      <w:r>
        <w:t xml:space="preserve">ą </w:t>
      </w:r>
      <w:r w:rsidRPr="00317ABC">
        <w:t>obmiarową jest komplet robót.</w:t>
      </w:r>
    </w:p>
    <w:p w:rsidR="008F1E7F" w:rsidRDefault="008F1E7F" w:rsidP="008F1E7F">
      <w:pPr>
        <w:pStyle w:val="Nagwek1"/>
        <w:numPr>
          <w:ilvl w:val="0"/>
          <w:numId w:val="3"/>
        </w:numPr>
        <w:ind w:left="284" w:hanging="284"/>
        <w:rPr>
          <w:color w:val="auto"/>
        </w:rPr>
      </w:pPr>
      <w:bookmarkStart w:id="28" w:name="_Toc463817741"/>
      <w:r w:rsidRPr="002129FF">
        <w:rPr>
          <w:color w:val="auto"/>
        </w:rPr>
        <w:t>ODBIÓR ROBÓT</w:t>
      </w:r>
      <w:bookmarkEnd w:id="28"/>
    </w:p>
    <w:p w:rsidR="00470B8A" w:rsidRPr="00470B8A" w:rsidRDefault="00470B8A" w:rsidP="00470B8A"/>
    <w:p w:rsidR="008F1E7F" w:rsidRPr="00317ABC" w:rsidRDefault="008F1E7F" w:rsidP="005A6C4B">
      <w:pPr>
        <w:jc w:val="both"/>
      </w:pPr>
      <w:r>
        <w:tab/>
      </w:r>
      <w:r w:rsidRPr="00317ABC">
        <w:t>Roboty uznaje si</w:t>
      </w:r>
      <w:r>
        <w:t xml:space="preserve">ę </w:t>
      </w:r>
      <w:r w:rsidRPr="00317ABC">
        <w:t xml:space="preserve">za wykonane zgodnie z dokumentacją projektową, </w:t>
      </w:r>
      <w:r w:rsidR="005A6C4B">
        <w:t>specyfikacją techniczną i </w:t>
      </w:r>
      <w:r w:rsidR="00470B8A">
        <w:t>wymaganiami</w:t>
      </w:r>
      <w:r w:rsidRPr="00317ABC">
        <w:t>, jeż</w:t>
      </w:r>
      <w:r>
        <w:t xml:space="preserve">eli </w:t>
      </w:r>
      <w:r w:rsidRPr="00317ABC">
        <w:t>wszystkie pomiary i badania dały wyniki pozytywne.</w:t>
      </w:r>
    </w:p>
    <w:p w:rsidR="008F1E7F" w:rsidRDefault="008F1E7F" w:rsidP="008F1E7F">
      <w:pPr>
        <w:pStyle w:val="Nagwek1"/>
        <w:numPr>
          <w:ilvl w:val="0"/>
          <w:numId w:val="3"/>
        </w:numPr>
        <w:rPr>
          <w:color w:val="auto"/>
        </w:rPr>
      </w:pPr>
      <w:bookmarkStart w:id="29" w:name="_Toc463817742"/>
      <w:r w:rsidRPr="002129FF">
        <w:rPr>
          <w:color w:val="auto"/>
        </w:rPr>
        <w:t>PODSTAWA PŁATNOŚCI</w:t>
      </w:r>
      <w:bookmarkEnd w:id="29"/>
    </w:p>
    <w:p w:rsidR="00470B8A" w:rsidRPr="00470B8A" w:rsidRDefault="00470B8A" w:rsidP="00470B8A"/>
    <w:p w:rsidR="008F1E7F" w:rsidRDefault="008F1E7F" w:rsidP="008F1E7F">
      <w:r w:rsidRPr="00317ABC">
        <w:t>Podstawę płatności stanowi komplet w</w:t>
      </w:r>
      <w:r>
        <w:t xml:space="preserve">ykonywanych robót i pomiarów po </w:t>
      </w:r>
      <w:r w:rsidRPr="00317ABC">
        <w:t>montażowych.</w:t>
      </w:r>
    </w:p>
    <w:p w:rsidR="008F1E7F" w:rsidRDefault="008F1E7F" w:rsidP="008F1E7F"/>
    <w:p w:rsidR="008F1E7F" w:rsidRDefault="008F1E7F" w:rsidP="008F1E7F"/>
    <w:p w:rsidR="008F1E7F" w:rsidRDefault="008F1E7F" w:rsidP="008F1E7F"/>
    <w:p w:rsidR="008F1E7F" w:rsidRDefault="008F1E7F" w:rsidP="008F1E7F"/>
    <w:p w:rsidR="008F1E7F" w:rsidRDefault="008F1E7F" w:rsidP="008F1E7F"/>
    <w:p w:rsidR="00EF5E39" w:rsidRDefault="00EF5E39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Default="00973611" w:rsidP="008F1E7F"/>
    <w:p w:rsidR="00973611" w:rsidRPr="00317ABC" w:rsidRDefault="00973611" w:rsidP="008F1E7F"/>
    <w:p w:rsidR="008F1E7F" w:rsidRPr="002129FF" w:rsidRDefault="008F1E7F" w:rsidP="008F1E7F">
      <w:pPr>
        <w:pStyle w:val="Nagwek1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30" w:name="_Toc463817743"/>
      <w:r w:rsidRPr="002129FF">
        <w:rPr>
          <w:color w:val="auto"/>
        </w:rPr>
        <w:lastRenderedPageBreak/>
        <w:t>PRZEPISY ZWIĄZANE</w:t>
      </w:r>
      <w:bookmarkEnd w:id="30"/>
    </w:p>
    <w:p w:rsidR="008F1E7F" w:rsidRPr="00D26842" w:rsidRDefault="008F1E7F" w:rsidP="008F1E7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67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PN-87/E-90056. Przewody elektroenergetyczne ogólnego przeznaczenia do układania na stałe. Przewody o izolacji i powłoce polwinitowej, okrągłe.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67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67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PN-87/E-90054. Przewody elektroenergetyczne ogólnego przeznaczenia do układania na stałe. Przewody jednożyłowe o izolacji polwinitowej.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67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PN-IEC 60364 –norma wieloarkuszowa. Instalacje elektryczne w obiektach budowlanych.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PN-E-04700:1998/2000. Wytyczne przeprowadzania pomontażowych badań odbiorczych.  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PN-IEC 61024 –norma wieloarkuszowa. Ochrona odgromowa obiektów budowlanych.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PN-86/E-05003.01. Ochrona odgromowa obiektów budowlanych. Wymagania ogólne.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D26842">
        <w:rPr>
          <w:rFonts w:ascii="Calibri" w:hAnsi="Calibri" w:cs="Calibri"/>
          <w:color w:val="000000"/>
          <w:sz w:val="22"/>
          <w:szCs w:val="22"/>
        </w:rPr>
        <w:t>PN-B-06200:2002 Konstrukcje stalowe budowlane. Warunki wykonania i odbioru.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Rozporządzenie Ministra Infrastruktury z dnia 02.09.2004 r. w sprawie szczegółowego zakresu i formy dokumentacji projektowej, specyfikacji technicznych wykonania i odbioru robót budowlanych  oraz programu funkcjonalno-użytkowego (Dz. U. nr 202/2004 i 75/2005).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>Rozporządzenie Ministra Infrastruktury z dnia 7 kwietnia 2004 w sprawie warunków technicznych jakim powinny odpowiadać budynki i ich usytuow</w:t>
      </w:r>
      <w:r w:rsidR="00BA5B0A">
        <w:rPr>
          <w:rFonts w:ascii="Calibri" w:hAnsi="Calibri" w:cs="Calibri"/>
          <w:color w:val="000000"/>
          <w:sz w:val="22"/>
          <w:szCs w:val="22"/>
        </w:rPr>
        <w:t>anie Dz.U z dnia 12 maja 2004 z </w:t>
      </w:r>
      <w:r w:rsidRPr="00831F0F">
        <w:rPr>
          <w:rFonts w:ascii="Calibri" w:hAnsi="Calibri" w:cs="Calibri"/>
          <w:color w:val="000000"/>
          <w:sz w:val="22"/>
          <w:szCs w:val="22"/>
        </w:rPr>
        <w:t>załącznikiem (wykaz Polskich N</w:t>
      </w:r>
      <w:r>
        <w:rPr>
          <w:rFonts w:ascii="Calibri" w:hAnsi="Calibri" w:cs="Calibri"/>
          <w:color w:val="000000"/>
          <w:sz w:val="22"/>
          <w:szCs w:val="22"/>
        </w:rPr>
        <w:t>orm obowiązującego stosowania).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Rozporządzenie Ministra Budownictwa i Przemysłu Materiałów Budowlanych w sprawie bezpieczeństwa i higieny pracy przy urządzeniach i instalacjach energetycznych Dz. U.80/99.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Warunki techniczne wykonania i odbioru robót budowlano-montażowych. Tom V. Instalacje elektryczne.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Warunki techniczne wykonania i odbioru robót budowlanych ITB część D: Roboty instalacyjne. Zeszyt 2: Instalacje elektryczne i piorunochronne w budynkach użyteczności publicznej. </w:t>
      </w:r>
    </w:p>
    <w:p w:rsidR="008F1E7F" w:rsidRPr="00831F0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  <w:r w:rsidRPr="00831F0F">
        <w:rPr>
          <w:rFonts w:ascii="Calibri" w:hAnsi="Calibri" w:cs="Calibri"/>
          <w:color w:val="000000"/>
          <w:sz w:val="22"/>
          <w:szCs w:val="22"/>
        </w:rPr>
        <w:t xml:space="preserve">Warunki techniczne wykonania i odbioru robót budowlano-montażowych. Tom III. Konstrukcje stalowe. </w:t>
      </w:r>
    </w:p>
    <w:p w:rsidR="008F1E7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692716" w:rsidRDefault="00692716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973611" w:rsidRDefault="00973611" w:rsidP="008F1E7F">
      <w:pPr>
        <w:pStyle w:val="Akapitzlist"/>
        <w:autoSpaceDE w:val="0"/>
        <w:autoSpaceDN w:val="0"/>
        <w:adjustRightInd w:val="0"/>
        <w:spacing w:after="270"/>
        <w:rPr>
          <w:rFonts w:ascii="Calibri" w:hAnsi="Calibri" w:cs="Calibri"/>
          <w:color w:val="000000"/>
          <w:sz w:val="22"/>
          <w:szCs w:val="22"/>
        </w:rPr>
      </w:pPr>
    </w:p>
    <w:p w:rsidR="008F1E7F" w:rsidRDefault="008F1E7F" w:rsidP="008F1E7F">
      <w:pPr>
        <w:pStyle w:val="Nagwek1"/>
        <w:numPr>
          <w:ilvl w:val="0"/>
          <w:numId w:val="3"/>
        </w:numPr>
        <w:rPr>
          <w:color w:val="auto"/>
        </w:rPr>
      </w:pPr>
      <w:bookmarkStart w:id="31" w:name="_Toc463817744"/>
      <w:r>
        <w:rPr>
          <w:color w:val="auto"/>
        </w:rPr>
        <w:lastRenderedPageBreak/>
        <w:t>UWAGI</w:t>
      </w:r>
      <w:bookmarkEnd w:id="31"/>
    </w:p>
    <w:p w:rsidR="00470B8A" w:rsidRPr="00470B8A" w:rsidRDefault="00470B8A" w:rsidP="00470B8A"/>
    <w:p w:rsidR="008F1E7F" w:rsidRPr="008F1E7F" w:rsidRDefault="008F1E7F" w:rsidP="008F1E7F">
      <w:pPr>
        <w:pStyle w:val="Akapitzlist"/>
        <w:ind w:left="0"/>
        <w:rPr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 w:rsidRPr="008F1E7F">
        <w:rPr>
          <w:color w:val="000000"/>
        </w:rPr>
        <w:t>Podane w dokumentacji projektowej nazwy lub typy materiałów i produktów mają na celu wskazanie parametrów jakościowych.</w:t>
      </w:r>
      <w:r w:rsidRPr="008F1E7F">
        <w:rPr>
          <w:color w:val="000000"/>
        </w:rPr>
        <w:tab/>
      </w:r>
    </w:p>
    <w:p w:rsidR="008F1E7F" w:rsidRPr="008F1E7F" w:rsidRDefault="008F1E7F" w:rsidP="008F1E7F">
      <w:pPr>
        <w:pStyle w:val="Akapitzlist"/>
        <w:ind w:left="0"/>
        <w:rPr>
          <w:color w:val="000000"/>
        </w:rPr>
      </w:pPr>
      <w:r w:rsidRPr="008F1E7F">
        <w:rPr>
          <w:color w:val="000000"/>
        </w:rPr>
        <w:tab/>
        <w:t>Dopuszcza się stosowanie produktów równoważnych z zastrzeżeniem, by ich minimalne parametry jakościowe nie były gorsze niż parametry i cechy wskazanych produktów, określonych w projekcie i specyfikacji.</w:t>
      </w:r>
    </w:p>
    <w:p w:rsidR="008F1E7F" w:rsidRPr="00EC5EF0" w:rsidRDefault="008F1E7F" w:rsidP="008F1E7F">
      <w:pPr>
        <w:pStyle w:val="Akapitzlist"/>
        <w:ind w:left="0"/>
        <w:rPr>
          <w:rFonts w:ascii="Calibri" w:hAnsi="Calibri" w:cs="Calibri"/>
          <w:color w:val="000000"/>
          <w:sz w:val="22"/>
          <w:szCs w:val="22"/>
        </w:rPr>
      </w:pPr>
      <w:r>
        <w:tab/>
      </w:r>
      <w:r w:rsidR="00E5393A">
        <w:t>Zastosowanie do wykonania instalacji innych rodzajów (typów) urządzeń i osprzętu niż wymienione w projekcie, dopuszczalne jest, pod warunkiem uzgodnienia zmian w obowiązującym trybie z Inspektorem Nadzoru, inwestorem i projektantem instalacji.</w:t>
      </w:r>
      <w:r w:rsidR="00E5393A" w:rsidRPr="008F1E7F">
        <w:rPr>
          <w:color w:val="000000"/>
        </w:rPr>
        <w:tab/>
      </w:r>
      <w:r w:rsidRPr="008F1E7F">
        <w:rPr>
          <w:color w:val="000000"/>
        </w:rPr>
        <w:tab/>
      </w:r>
    </w:p>
    <w:sectPr w:rsidR="008F1E7F" w:rsidRPr="00EC5EF0" w:rsidSect="00633E51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254" w:rsidRDefault="00E30254" w:rsidP="00A91990">
      <w:pPr>
        <w:spacing w:after="0" w:line="240" w:lineRule="auto"/>
      </w:pPr>
      <w:r>
        <w:separator/>
      </w:r>
    </w:p>
  </w:endnote>
  <w:endnote w:type="continuationSeparator" w:id="0">
    <w:p w:rsidR="00E30254" w:rsidRDefault="00E30254" w:rsidP="00A91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254" w:rsidRDefault="00E30254" w:rsidP="00A91990">
      <w:pPr>
        <w:spacing w:after="0" w:line="240" w:lineRule="auto"/>
      </w:pPr>
      <w:r>
        <w:separator/>
      </w:r>
    </w:p>
  </w:footnote>
  <w:footnote w:type="continuationSeparator" w:id="0">
    <w:p w:rsidR="00E30254" w:rsidRDefault="00E30254" w:rsidP="00A91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6E5F"/>
    <w:multiLevelType w:val="multilevel"/>
    <w:tmpl w:val="C3F0856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0B0FD1"/>
    <w:multiLevelType w:val="hybridMultilevel"/>
    <w:tmpl w:val="04244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33F58"/>
    <w:multiLevelType w:val="hybridMultilevel"/>
    <w:tmpl w:val="79C02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00146"/>
    <w:multiLevelType w:val="multilevel"/>
    <w:tmpl w:val="7146F28E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9A07C63"/>
    <w:multiLevelType w:val="hybridMultilevel"/>
    <w:tmpl w:val="8EC6D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86B3F"/>
    <w:multiLevelType w:val="multilevel"/>
    <w:tmpl w:val="7AC085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E201B3C"/>
    <w:multiLevelType w:val="multilevel"/>
    <w:tmpl w:val="7AC085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2A"/>
    <w:rsid w:val="000328C0"/>
    <w:rsid w:val="00051470"/>
    <w:rsid w:val="00062A1F"/>
    <w:rsid w:val="00087AB7"/>
    <w:rsid w:val="000A46A9"/>
    <w:rsid w:val="000D62AD"/>
    <w:rsid w:val="000D6D2D"/>
    <w:rsid w:val="000E6C0E"/>
    <w:rsid w:val="001117F3"/>
    <w:rsid w:val="001151FA"/>
    <w:rsid w:val="00141174"/>
    <w:rsid w:val="00161AAD"/>
    <w:rsid w:val="00174A5D"/>
    <w:rsid w:val="001A16D4"/>
    <w:rsid w:val="001B0B42"/>
    <w:rsid w:val="001F20E7"/>
    <w:rsid w:val="00266067"/>
    <w:rsid w:val="00296817"/>
    <w:rsid w:val="0033301E"/>
    <w:rsid w:val="00334C3C"/>
    <w:rsid w:val="00335052"/>
    <w:rsid w:val="00360A44"/>
    <w:rsid w:val="003626AF"/>
    <w:rsid w:val="00382562"/>
    <w:rsid w:val="00382C30"/>
    <w:rsid w:val="003D2843"/>
    <w:rsid w:val="004430E4"/>
    <w:rsid w:val="00462062"/>
    <w:rsid w:val="00470B8A"/>
    <w:rsid w:val="00486714"/>
    <w:rsid w:val="004D4454"/>
    <w:rsid w:val="004F7167"/>
    <w:rsid w:val="005274CF"/>
    <w:rsid w:val="0055286A"/>
    <w:rsid w:val="00560857"/>
    <w:rsid w:val="00582877"/>
    <w:rsid w:val="005A6C4B"/>
    <w:rsid w:val="005B50C2"/>
    <w:rsid w:val="005B7E29"/>
    <w:rsid w:val="005F1752"/>
    <w:rsid w:val="00625754"/>
    <w:rsid w:val="00633E51"/>
    <w:rsid w:val="00651EAF"/>
    <w:rsid w:val="00675135"/>
    <w:rsid w:val="00692716"/>
    <w:rsid w:val="006B0A99"/>
    <w:rsid w:val="006C36B3"/>
    <w:rsid w:val="006E5CE7"/>
    <w:rsid w:val="0070679A"/>
    <w:rsid w:val="007358E3"/>
    <w:rsid w:val="00744857"/>
    <w:rsid w:val="00744F7E"/>
    <w:rsid w:val="00747E9E"/>
    <w:rsid w:val="00751255"/>
    <w:rsid w:val="00770556"/>
    <w:rsid w:val="007932A2"/>
    <w:rsid w:val="007957B9"/>
    <w:rsid w:val="0081648D"/>
    <w:rsid w:val="00881956"/>
    <w:rsid w:val="00884562"/>
    <w:rsid w:val="008C2A26"/>
    <w:rsid w:val="008D6729"/>
    <w:rsid w:val="008F1E7F"/>
    <w:rsid w:val="0090142A"/>
    <w:rsid w:val="00916507"/>
    <w:rsid w:val="00963508"/>
    <w:rsid w:val="009708CB"/>
    <w:rsid w:val="00973611"/>
    <w:rsid w:val="00995D1B"/>
    <w:rsid w:val="009D3D1C"/>
    <w:rsid w:val="009F51A4"/>
    <w:rsid w:val="00A06B18"/>
    <w:rsid w:val="00A71E50"/>
    <w:rsid w:val="00A91990"/>
    <w:rsid w:val="00AD3F56"/>
    <w:rsid w:val="00B079D6"/>
    <w:rsid w:val="00B22CBB"/>
    <w:rsid w:val="00B55126"/>
    <w:rsid w:val="00B776AE"/>
    <w:rsid w:val="00B905D8"/>
    <w:rsid w:val="00BA5B0A"/>
    <w:rsid w:val="00BC068F"/>
    <w:rsid w:val="00C02446"/>
    <w:rsid w:val="00C06A4D"/>
    <w:rsid w:val="00C222E7"/>
    <w:rsid w:val="00D33993"/>
    <w:rsid w:val="00D40445"/>
    <w:rsid w:val="00D4602F"/>
    <w:rsid w:val="00D510AF"/>
    <w:rsid w:val="00D57FA8"/>
    <w:rsid w:val="00D70337"/>
    <w:rsid w:val="00D70642"/>
    <w:rsid w:val="00DC4AD0"/>
    <w:rsid w:val="00DC74B0"/>
    <w:rsid w:val="00DF676E"/>
    <w:rsid w:val="00DF6915"/>
    <w:rsid w:val="00E047D6"/>
    <w:rsid w:val="00E30254"/>
    <w:rsid w:val="00E3568D"/>
    <w:rsid w:val="00E37FF3"/>
    <w:rsid w:val="00E40FD6"/>
    <w:rsid w:val="00E5393A"/>
    <w:rsid w:val="00EA3CD4"/>
    <w:rsid w:val="00EC2D0F"/>
    <w:rsid w:val="00EF5E39"/>
    <w:rsid w:val="00F03533"/>
    <w:rsid w:val="00FE4C46"/>
    <w:rsid w:val="00FE4E5A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A746C"/>
  <w15:docId w15:val="{CC36D5E3-1477-473E-936E-8AD7FBC5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C06A4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1E7F"/>
    <w:pPr>
      <w:keepNext/>
      <w:keepLines/>
      <w:spacing w:before="480" w:after="0" w:line="276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1E7F"/>
    <w:pPr>
      <w:keepNext/>
      <w:keepLines/>
      <w:spacing w:before="200" w:after="0" w:line="276" w:lineRule="auto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F1E7F"/>
    <w:pPr>
      <w:keepNext/>
      <w:keepLines/>
      <w:spacing w:before="200" w:after="0" w:line="276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F1E7F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8F1E7F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8F1E7F"/>
    <w:rPr>
      <w:rFonts w:ascii="Cambria" w:eastAsia="Times New Roman" w:hAnsi="Cambria"/>
      <w:b/>
      <w:bCs/>
      <w:color w:val="4F81BD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8F1E7F"/>
    <w:pPr>
      <w:spacing w:after="200" w:line="276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1E7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F1E7F"/>
    <w:pPr>
      <w:tabs>
        <w:tab w:val="left" w:pos="440"/>
        <w:tab w:val="right" w:leader="dot" w:pos="9062"/>
      </w:tabs>
      <w:spacing w:after="100" w:line="276" w:lineRule="auto"/>
      <w:jc w:val="both"/>
    </w:pPr>
    <w:rPr>
      <w:rFonts w:ascii="Times New Roman" w:hAnsi="Times New Roman"/>
      <w:b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F1E7F"/>
    <w:pPr>
      <w:spacing w:after="100" w:line="276" w:lineRule="auto"/>
      <w:ind w:left="220"/>
      <w:jc w:val="both"/>
    </w:pPr>
    <w:rPr>
      <w:rFonts w:ascii="Times New Roman" w:hAnsi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F1E7F"/>
    <w:pPr>
      <w:spacing w:after="100" w:line="276" w:lineRule="auto"/>
      <w:ind w:left="440"/>
      <w:jc w:val="both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8F1E7F"/>
    <w:rPr>
      <w:color w:val="0000FF"/>
      <w:u w:val="single"/>
    </w:rPr>
  </w:style>
  <w:style w:type="table" w:styleId="Tabela-Siatka">
    <w:name w:val="Table Grid"/>
    <w:basedOn w:val="Standardowy"/>
    <w:uiPriority w:val="59"/>
    <w:rsid w:val="008F1E7F"/>
    <w:pPr>
      <w:jc w:val="both"/>
    </w:pPr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7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7167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91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199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91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199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F3808-4A43-4814-8492-FE5DCAC3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2522</Words>
  <Characters>15137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17624</CharactersWithSpaces>
  <SharedDoc>false</SharedDoc>
  <HLinks>
    <vt:vector size="198" baseType="variant">
      <vt:variant>
        <vt:i4>1703985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_Toc463817744</vt:lpwstr>
      </vt:variant>
      <vt:variant>
        <vt:i4>1703985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_Toc463817743</vt:lpwstr>
      </vt:variant>
      <vt:variant>
        <vt:i4>1703985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_Toc463817742</vt:lpwstr>
      </vt:variant>
      <vt:variant>
        <vt:i4>1703985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_Toc463817741</vt:lpwstr>
      </vt:variant>
      <vt:variant>
        <vt:i4>1703985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_Toc463817740</vt:lpwstr>
      </vt:variant>
      <vt:variant>
        <vt:i4>1900593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_Toc463817739</vt:lpwstr>
      </vt:variant>
      <vt:variant>
        <vt:i4>1900593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_Toc463817738</vt:lpwstr>
      </vt:variant>
      <vt:variant>
        <vt:i4>1900593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_Toc463817737</vt:lpwstr>
      </vt:variant>
      <vt:variant>
        <vt:i4>1900593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_Toc463817736</vt:lpwstr>
      </vt:variant>
      <vt:variant>
        <vt:i4>1900593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_Toc463817735</vt:lpwstr>
      </vt:variant>
      <vt:variant>
        <vt:i4>1900593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_Toc463817734</vt:lpwstr>
      </vt:variant>
      <vt:variant>
        <vt:i4>1900593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_Toc463817733</vt:lpwstr>
      </vt:variant>
      <vt:variant>
        <vt:i4>1900593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_Toc463817732</vt:lpwstr>
      </vt:variant>
      <vt:variant>
        <vt:i4>1900593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_Toc463817731</vt:lpwstr>
      </vt:variant>
      <vt:variant>
        <vt:i4>1900593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_Toc463817730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_Toc463817729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_Toc463817728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_Toc463817727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_Toc463817726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_Toc463817725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_Toc463817724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_Toc463817723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_Toc463817722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_Toc463817721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_Toc463817720</vt:lpwstr>
      </vt:variant>
      <vt:variant>
        <vt:i4>2031665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_Toc463817719</vt:lpwstr>
      </vt:variant>
      <vt:variant>
        <vt:i4>2031665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_Toc463817718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_Toc463817717</vt:lpwstr>
      </vt:variant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_Toc463817716</vt:lpwstr>
      </vt:variant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_Toc463817715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_Toc463817714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_Toc463817713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_Toc463817712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Dziedzic</dc:creator>
  <cp:lastModifiedBy>Dominik</cp:lastModifiedBy>
  <cp:revision>2</cp:revision>
  <cp:lastPrinted>2017-03-09T10:32:00Z</cp:lastPrinted>
  <dcterms:created xsi:type="dcterms:W3CDTF">2017-03-09T10:34:00Z</dcterms:created>
  <dcterms:modified xsi:type="dcterms:W3CDTF">2017-03-09T10:34:00Z</dcterms:modified>
</cp:coreProperties>
</file>