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93100" w14:textId="698EDFD0" w:rsidR="00334E67" w:rsidRPr="00604B86" w:rsidRDefault="003E2C22" w:rsidP="00334E67">
      <w:pPr>
        <w:keepNext/>
        <w:keepLines/>
        <w:spacing w:before="240" w:after="240" w:line="276" w:lineRule="auto"/>
        <w:jc w:val="right"/>
        <w:outlineLvl w:val="1"/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07B91"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pl-PL"/>
          <w14:ligatures w14:val="none"/>
        </w:rPr>
        <w:t xml:space="preserve"> </w:t>
      </w:r>
      <w:bookmarkStart w:id="0" w:name="_Toc69376131"/>
      <w:r w:rsidR="00334E67"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Załącznik nr </w:t>
      </w:r>
      <w:r w:rsidR="00E06000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1</w:t>
      </w:r>
      <w:r w:rsidR="00334E67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b</w:t>
      </w:r>
      <w:r w:rsidR="00334E67"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 do SWZ</w:t>
      </w:r>
    </w:p>
    <w:p w14:paraId="31219EB1" w14:textId="3FA47390" w:rsidR="00E06000" w:rsidRPr="00E06000" w:rsidRDefault="00E06000" w:rsidP="00E06000">
      <w:pPr>
        <w:pStyle w:val="Akapitzlist"/>
        <w:widowControl w:val="0"/>
        <w:shd w:val="clear" w:color="auto" w:fill="FFFFFF"/>
        <w:spacing w:after="0" w:line="240" w:lineRule="auto"/>
        <w:ind w:left="284"/>
        <w:jc w:val="center"/>
        <w:rPr>
          <w:rFonts w:ascii="Arial" w:eastAsia="Times New Roman" w:hAnsi="Arial" w:cs="Arial"/>
          <w:color w:val="00000A"/>
          <w:kern w:val="0"/>
          <w:sz w:val="24"/>
          <w:szCs w:val="24"/>
          <w:highlight w:val="yellow"/>
          <w:lang w:eastAsia="pl-PL"/>
          <w14:ligatures w14:val="none"/>
        </w:rPr>
      </w:pPr>
      <w:r w:rsidRPr="00E06000"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 xml:space="preserve">Wypełniony załącznik nr 1b </w:t>
      </w:r>
      <w:r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>Wykonawca</w:t>
      </w:r>
      <w:r w:rsidRPr="00E06000"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 xml:space="preserve"> załącza do oferty.</w:t>
      </w:r>
    </w:p>
    <w:p w14:paraId="4155662F" w14:textId="77777777" w:rsidR="00E06000" w:rsidRDefault="00E06000" w:rsidP="00E06000">
      <w:pPr>
        <w:keepNext/>
        <w:keepLines/>
        <w:spacing w:before="240" w:after="240" w:line="276" w:lineRule="auto"/>
        <w:jc w:val="center"/>
        <w:outlineLvl w:val="1"/>
        <w:rPr>
          <w:rFonts w:ascii="Arial" w:eastAsia="Arial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3B2119A6" w14:textId="22F237DA" w:rsidR="00507B91" w:rsidRPr="00507B91" w:rsidRDefault="00507B91" w:rsidP="00E06000">
      <w:pPr>
        <w:keepNext/>
        <w:keepLines/>
        <w:spacing w:before="240" w:after="240" w:line="276" w:lineRule="auto"/>
        <w:jc w:val="center"/>
        <w:outlineLvl w:val="1"/>
        <w:rPr>
          <w:rFonts w:ascii="Arial" w:eastAsia="Arial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07B91">
        <w:rPr>
          <w:rFonts w:ascii="Arial" w:eastAsia="Arial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OPIS PRZEDMIOTU ZAMÓWIENIA</w:t>
      </w:r>
      <w:bookmarkEnd w:id="0"/>
    </w:p>
    <w:p w14:paraId="7FE1BE35" w14:textId="07C17A07" w:rsidR="00507B91" w:rsidRDefault="00334E67" w:rsidP="00334E67">
      <w:pPr>
        <w:shd w:val="clear" w:color="auto" w:fill="A6A6A6" w:themeFill="background1" w:themeFillShade="A6"/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334E67">
        <w:rPr>
          <w:rFonts w:ascii="Cambria" w:hAnsi="Cambria"/>
          <w:b/>
          <w:iCs/>
          <w:color w:val="000000"/>
          <w:sz w:val="28"/>
          <w:szCs w:val="28"/>
        </w:rPr>
        <w:t xml:space="preserve">Część nr 2: </w:t>
      </w:r>
      <w:r w:rsidRPr="00334E67">
        <w:rPr>
          <w:rFonts w:ascii="Cambria" w:hAnsi="Cambria" w:cs="Arial"/>
          <w:b/>
          <w:sz w:val="28"/>
          <w:szCs w:val="28"/>
        </w:rPr>
        <w:t>„Zakup średniego samochodu ratowniczo-gaśniczego wraz z wyposażeniem jednostki” dla OSP Sorbin</w:t>
      </w:r>
    </w:p>
    <w:p w14:paraId="0B313054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ADC0D80" w14:textId="77777777" w:rsidR="00507B91" w:rsidRPr="00507B91" w:rsidRDefault="00507B91" w:rsidP="00507B9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1F253C3" w14:textId="0FD1FA1D" w:rsidR="0002482F" w:rsidRPr="00507B91" w:rsidRDefault="0002482F" w:rsidP="0002482F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pl-PL"/>
          <w14:ligatures w14:val="none"/>
        </w:rPr>
      </w:pPr>
    </w:p>
    <w:p w14:paraId="3884229A" w14:textId="1EA3BB92" w:rsidR="0002482F" w:rsidRPr="00507B91" w:rsidRDefault="003E2C22" w:rsidP="003E2C22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507B9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„</w:t>
      </w:r>
      <w:r w:rsidR="005C3AB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Minimalne w</w:t>
      </w:r>
      <w:r w:rsidR="00602183" w:rsidRPr="00507B9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ymagania dla </w:t>
      </w:r>
      <w:r w:rsidRPr="00507B9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średniego samochodu ratowniczo-gaśniczego”</w:t>
      </w:r>
    </w:p>
    <w:tbl>
      <w:tblPr>
        <w:tblW w:w="941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719"/>
        <w:gridCol w:w="1985"/>
      </w:tblGrid>
      <w:tr w:rsidR="0002482F" w:rsidRPr="00507B91" w14:paraId="5AB94A1A" w14:textId="77777777" w:rsidTr="006C692D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2172B81A" w14:textId="77777777" w:rsidR="006C692D" w:rsidRPr="00507B91" w:rsidRDefault="006C692D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73B56AC" w14:textId="77777777" w:rsidR="006C692D" w:rsidRPr="00507B91" w:rsidRDefault="006C692D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03041B7" w14:textId="2A78BDBB" w:rsidR="0002482F" w:rsidRPr="00507B91" w:rsidRDefault="0002482F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67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197FCCEF" w14:textId="77777777" w:rsidR="006C692D" w:rsidRPr="00507B91" w:rsidRDefault="006C692D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3BC0AB4" w14:textId="77777777" w:rsidR="006C692D" w:rsidRPr="00507B91" w:rsidRDefault="006C692D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A8C8FC0" w14:textId="1BC86D5F" w:rsidR="0002482F" w:rsidRPr="00507B91" w:rsidRDefault="003E2C22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Wymagania minimalne zamawiającego</w:t>
            </w:r>
          </w:p>
          <w:p w14:paraId="1655E62B" w14:textId="79770610" w:rsidR="003E2C22" w:rsidRPr="00507B91" w:rsidRDefault="003E2C22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86BCD8B" w14:textId="5820E4AA" w:rsidR="0002482F" w:rsidRPr="00507B91" w:rsidRDefault="0002482F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Potwierdzenie wymagań zamawiającego zgodne </w:t>
            </w:r>
            <w:r w:rsidR="003E2C22" w:rsidRPr="00507B9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</w:t>
            </w:r>
            <w:r w:rsidRPr="00507B9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 wydanym dopuszczeniem </w:t>
            </w:r>
          </w:p>
        </w:tc>
      </w:tr>
      <w:tr w:rsidR="0002482F" w:rsidRPr="00507B91" w14:paraId="5CE3B153" w14:textId="77777777" w:rsidTr="006C692D"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5CA3FC" w14:textId="77777777" w:rsidR="0002482F" w:rsidRPr="00507B91" w:rsidRDefault="0002482F" w:rsidP="00095F6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67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0BBA8A" w14:textId="4FE5014A" w:rsidR="0002482F" w:rsidRPr="00507B91" w:rsidRDefault="000D6084" w:rsidP="00095F6B">
            <w:pPr>
              <w:suppressAutoHyphens/>
              <w:spacing w:after="0" w:line="240" w:lineRule="atLeast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S</w:t>
            </w:r>
            <w:r w:rsidR="0002482F"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amochód ratowniczo gaśniczy </w:t>
            </w:r>
            <w:r w:rsidR="00161440"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kategorii 2</w:t>
            </w:r>
            <w:r w:rsidRPr="00507B9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FFF842" w14:textId="77777777" w:rsidR="0002482F" w:rsidRPr="00507B91" w:rsidRDefault="0002482F" w:rsidP="00095F6B">
            <w:pPr>
              <w:suppressAutoHyphens/>
              <w:spacing w:after="0" w:line="240" w:lineRule="atLeast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06A3B" w:rsidRPr="00507B91" w14:paraId="400340A0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16A395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E4A38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fabrycznie nowy rok produkcji 2024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21DEF" w14:textId="6D7207AE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 markę, typ              i model</w:t>
            </w:r>
          </w:p>
        </w:tc>
      </w:tr>
      <w:tr w:rsidR="00506A3B" w:rsidRPr="00507B91" w14:paraId="61AC6D52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D31C0E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1.2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ABC40" w14:textId="39D18C76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color w:val="000000"/>
                <w:sz w:val="24"/>
                <w:szCs w:val="24"/>
              </w:rPr>
              <w:t>Pojazd spełnia wymagania polskich przepisów o ruchu drogowym z uwzględnieniem wymagań dotyczących pojazdów uprzywilejowanych zgodnie z ustawą „Prawo o ruchu drogowym”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07B91">
              <w:rPr>
                <w:rFonts w:ascii="Arial" w:hAnsi="Arial" w:cs="Arial"/>
                <w:sz w:val="24"/>
                <w:szCs w:val="24"/>
              </w:rPr>
              <w:t xml:space="preserve">z dnia </w:t>
            </w:r>
            <w:hyperlink r:id="rId7" w:tgtFrame="_top">
              <w:r w:rsidRPr="00507B91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20</w:t>
              </w:r>
            </w:hyperlink>
            <w:hyperlink r:id="rId8" w:tgtFrame="_top">
              <w:r w:rsidRPr="00507B91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507B91">
              <w:rPr>
                <w:rStyle w:val="czeinternetowe"/>
                <w:rFonts w:ascii="Arial" w:hAnsi="Arial" w:cs="Arial"/>
                <w:color w:val="auto"/>
                <w:sz w:val="24"/>
                <w:szCs w:val="24"/>
                <w:u w:val="none"/>
              </w:rPr>
              <w:t>czerwca</w:t>
            </w:r>
            <w:r w:rsidRPr="00507B91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9" w:tgtFrame="_top">
              <w:r w:rsidRPr="00507B91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1997</w:t>
              </w:r>
            </w:hyperlink>
            <w:r w:rsidRPr="00507B91">
              <w:rPr>
                <w:rFonts w:ascii="Arial" w:hAnsi="Arial" w:cs="Arial"/>
                <w:sz w:val="24"/>
                <w:szCs w:val="24"/>
              </w:rPr>
              <w:t xml:space="preserve"> r. wraz </w:t>
            </w:r>
            <w:r w:rsidRPr="00507B91">
              <w:rPr>
                <w:rFonts w:ascii="Arial" w:hAnsi="Arial" w:cs="Arial"/>
                <w:color w:val="000000"/>
                <w:sz w:val="24"/>
                <w:szCs w:val="24"/>
              </w:rPr>
              <w:t>ze wszystkimi jej nowelizacjami.</w:t>
            </w:r>
          </w:p>
          <w:p w14:paraId="58E82E6F" w14:textId="2D67230D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40FF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686FD5D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AD834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1.3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50E93" w14:textId="2DA685AA" w:rsidR="00506A3B" w:rsidRPr="00507B91" w:rsidRDefault="00506A3B" w:rsidP="00506A3B">
            <w:pPr>
              <w:widowControl w:val="0"/>
              <w:shd w:val="clear" w:color="auto" w:fill="FFFFFF"/>
              <w:spacing w:after="0" w:line="250" w:lineRule="exac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Pojazd spełnia wymagania Rozporządzeniem MSWiA z dnia </w:t>
            </w:r>
            <w:r w:rsidRPr="000E3BF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20 czerwca 2007 r. </w:t>
            </w:r>
            <w:r w:rsidRPr="000E3BF6">
              <w:rPr>
                <w:rFonts w:ascii="Arial" w:hAnsi="Arial" w:cs="Arial"/>
                <w:sz w:val="24"/>
                <w:szCs w:val="24"/>
              </w:rPr>
              <w:t xml:space="preserve">w sprawie wykazu wyrobów służących zapewnieniu zasad bezpieczeństwa publicznego lub ochronie zdrowia i życia oraz mienia, a także zasad wydawania dopuszczenia tych wyrobów do użytkowania, </w:t>
            </w:r>
            <w:r w:rsidRPr="000E3BF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 </w:t>
            </w:r>
            <w:proofErr w:type="spellStart"/>
            <w:r w:rsidRPr="000E3BF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Pr="000E3BF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zm.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BC0C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7F41791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2C3EE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1.4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377EC" w14:textId="05ABB6D4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Posiada ważne świadectwo dopuszczenia na dzień dostawy</w:t>
            </w:r>
            <w:r w:rsidRPr="00507B91">
              <w:rPr>
                <w:rFonts w:ascii="Arial" w:eastAsia="Times New Roman" w:hAnsi="Arial" w:cs="Arial"/>
                <w:color w:val="FF0000"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07B91">
              <w:rPr>
                <w:rFonts w:ascii="Arial" w:hAnsi="Arial" w:cs="Arial"/>
                <w:color w:val="FF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07B91"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wydane przez CNBOP-PIB w Józefowie k/Otwocka.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793D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B298DF8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8D9A4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1.5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021263" w14:textId="1B6002B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Masa całkowita samochodu gotowego do akcji ratowniczo – gaśniczej (pojazd z załogą, pełnymi zbiornikami, zabudową                                i wyposażeniem) nie przekraczająca 16 ton. </w:t>
            </w:r>
            <w:r w:rsidRPr="00507B91">
              <w:rPr>
                <w:rFonts w:ascii="Arial" w:eastAsia="Calibri" w:hAnsi="Arial" w:cs="Arial"/>
                <w:sz w:val="24"/>
                <w:szCs w:val="24"/>
              </w:rPr>
              <w:t>Wymiary pojazdu: długość max. 7800 mm; wysokość max. 3200 mm.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24B02" w14:textId="77777777" w:rsidR="00506A3B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756752" w14:textId="37098CFB" w:rsidR="00506A3B" w:rsidRPr="00E05252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 wartość</w:t>
            </w:r>
          </w:p>
          <w:p w14:paraId="64884770" w14:textId="1CB4D650" w:rsidR="00506A3B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08E76EE" w14:textId="77777777" w:rsidR="00506A3B" w:rsidRPr="00506A3B" w:rsidRDefault="00506A3B" w:rsidP="00506A3B">
            <w:pPr>
              <w:ind w:firstLine="70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06A3B" w:rsidRPr="00507B91" w14:paraId="0AA451B1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84DB7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1.6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A5187" w14:textId="4675DFC5" w:rsidR="00506A3B" w:rsidRPr="00507B91" w:rsidRDefault="00506A3B" w:rsidP="00506A3B">
            <w:pPr>
              <w:tabs>
                <w:tab w:val="right" w:pos="112"/>
                <w:tab w:val="left" w:pos="969"/>
              </w:tabs>
              <w:spacing w:before="48"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Silnik o zapłonie samoczynnym, spełniający normy czystości spalin min. EURO 6. Moc silnika min. 285 KM dostosowana do wagi pojazdu. 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44CB1" w14:textId="77777777" w:rsidR="00506A3B" w:rsidRPr="00E05252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 wartość</w:t>
            </w:r>
          </w:p>
          <w:p w14:paraId="29E67F09" w14:textId="77777777" w:rsidR="00506A3B" w:rsidRPr="00507B91" w:rsidRDefault="00506A3B" w:rsidP="00506A3B">
            <w:pPr>
              <w:tabs>
                <w:tab w:val="right" w:pos="112"/>
                <w:tab w:val="left" w:pos="969"/>
              </w:tabs>
              <w:spacing w:before="48"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9923CC9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DEA979" w14:textId="77777777" w:rsidR="00506A3B" w:rsidRPr="00507B91" w:rsidRDefault="00506A3B" w:rsidP="00506A3B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1.7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6F820" w14:textId="3BED6137" w:rsidR="00506A3B" w:rsidRPr="00507B91" w:rsidRDefault="00506A3B" w:rsidP="00506A3B">
            <w:pPr>
              <w:tabs>
                <w:tab w:val="right" w:pos="112"/>
                <w:tab w:val="left" w:pos="969"/>
              </w:tabs>
              <w:spacing w:before="48"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Napęd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pojazdu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4 x 4  </w:t>
            </w:r>
          </w:p>
          <w:p w14:paraId="3A427208" w14:textId="77777777" w:rsidR="00506A3B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 osi przedniej koła pojedyncze</w:t>
            </w:r>
          </w:p>
          <w:p w14:paraId="6EF2CBD4" w14:textId="21C68D0D" w:rsidR="00506A3B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 osi tylnej koła podwójne</w:t>
            </w:r>
          </w:p>
          <w:p w14:paraId="65186D4F" w14:textId="0F29DA3D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4E2E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E5F95F5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2D172" w14:textId="77777777" w:rsidR="00506A3B" w:rsidRPr="00507B91" w:rsidRDefault="00506A3B" w:rsidP="00506A3B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1.8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99E7DD" w14:textId="5581476A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z manualną skrzynią biegów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07B91"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  <w:t xml:space="preserve">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073E" w14:textId="77777777" w:rsidR="00506A3B" w:rsidRPr="00507B91" w:rsidRDefault="00506A3B" w:rsidP="00506A3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B558788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8E04D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1.9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91AD08" w14:textId="77777777" w:rsidR="00506A3B" w:rsidRPr="00507B91" w:rsidRDefault="00506A3B" w:rsidP="00506A3B">
            <w:pPr>
              <w:tabs>
                <w:tab w:val="right" w:pos="280"/>
                <w:tab w:val="left" w:pos="95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Kabina czterodrzwiowa, fabrycznie jednomodułowa, zapewniająca dostęp do silnika, w układzie miejsc 1 + 1 + 4 (siedzenia przodem do kierunku jazdy). </w:t>
            </w:r>
          </w:p>
          <w:p w14:paraId="16A7FB8D" w14:textId="77777777" w:rsidR="00506A3B" w:rsidRPr="00507B91" w:rsidRDefault="00506A3B" w:rsidP="00506A3B">
            <w:pPr>
              <w:tabs>
                <w:tab w:val="right" w:pos="280"/>
                <w:tab w:val="left" w:pos="95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Za kabiną umiejscowiony i wyprowadzony do góry filtr powietrza. </w:t>
            </w:r>
          </w:p>
          <w:p w14:paraId="456A1C6D" w14:textId="77777777" w:rsidR="00506A3B" w:rsidRPr="00507B91" w:rsidRDefault="00506A3B" w:rsidP="00506A3B">
            <w:pPr>
              <w:tabs>
                <w:tab w:val="right" w:pos="280"/>
                <w:tab w:val="left" w:pos="95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Kabina wyposażona dodatkowo w:</w:t>
            </w:r>
          </w:p>
          <w:p w14:paraId="12D15106" w14:textId="77777777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indywidualne oświetlenie nad siedzeniem dowódcy,</w:t>
            </w:r>
          </w:p>
          <w:p w14:paraId="031E1B57" w14:textId="77777777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radiotelefon przewoźny,</w:t>
            </w:r>
          </w:p>
          <w:p w14:paraId="350B8903" w14:textId="77777777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niezależny układ ogrzewania i wentylacji, umożliwiający ogrzewanie kabiny przy wyłączonym silniku,</w:t>
            </w:r>
          </w:p>
          <w:p w14:paraId="1693F89C" w14:textId="77777777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dach otwierany mechanicznie,</w:t>
            </w:r>
          </w:p>
          <w:p w14:paraId="45B52BD9" w14:textId="33490D64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781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fotel dla kierowcy z zawieszeniem pneumatycznym,                           z regulacją wysokości, odległości i pochylenia oparcia,</w:t>
            </w:r>
          </w:p>
          <w:p w14:paraId="0DF4D3DA" w14:textId="77777777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fotel dowódcy z regulacją wzdłużną i pochylenia oparcia,</w:t>
            </w:r>
          </w:p>
          <w:p w14:paraId="525FFFFE" w14:textId="318DFE5E" w:rsidR="00506A3B" w:rsidRPr="00507B91" w:rsidRDefault="00506A3B" w:rsidP="00506A3B">
            <w:pPr>
              <w:numPr>
                <w:ilvl w:val="0"/>
                <w:numId w:val="1"/>
              </w:numPr>
              <w:tabs>
                <w:tab w:val="right" w:pos="-267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uchwyty na aparaty powietrzne w oparciach siedzeń dla czterech osób w tylnym przedziale kabiny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9D26" w14:textId="77777777" w:rsidR="00506A3B" w:rsidRPr="00507B91" w:rsidRDefault="00506A3B" w:rsidP="00506A3B">
            <w:pPr>
              <w:tabs>
                <w:tab w:val="right" w:pos="280"/>
                <w:tab w:val="left" w:pos="95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08DB4DD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3D463E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CB08E" w14:textId="77777777" w:rsidR="00506A3B" w:rsidRPr="00507B91" w:rsidRDefault="00506A3B" w:rsidP="00506A3B">
            <w:pPr>
              <w:tabs>
                <w:tab w:val="right" w:pos="-1184"/>
                <w:tab w:val="left" w:pos="259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14:paraId="79CE377C" w14:textId="77777777" w:rsidR="00506A3B" w:rsidRPr="00507B91" w:rsidRDefault="00506A3B" w:rsidP="00506A3B">
            <w:pPr>
              <w:tabs>
                <w:tab w:val="right" w:pos="-1184"/>
                <w:tab w:val="left" w:pos="259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Instalacja elektryczna wyposażona w główny wyłącznik prądu.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392A5" w14:textId="77777777" w:rsidR="00506A3B" w:rsidRPr="00507B91" w:rsidRDefault="00506A3B" w:rsidP="00506A3B">
            <w:pPr>
              <w:tabs>
                <w:tab w:val="right" w:pos="-1184"/>
                <w:tab w:val="left" w:pos="259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83D04D4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2B93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45D1A" w14:textId="77777777" w:rsidR="00506A3B" w:rsidRPr="00507B91" w:rsidRDefault="00506A3B" w:rsidP="00506A3B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wyposażony w gniazdo (z wtyczką) do ładowania akumulatorów ze źródła zewnętrznego umieszczone po lewej stronie (sygnalizacja podłączenia do zewnętrznego źródła w kabinie kierowcy).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78DA" w14:textId="77777777" w:rsidR="00506A3B" w:rsidRPr="00507B91" w:rsidRDefault="00506A3B" w:rsidP="00506A3B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FDE4FBF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EF3DB6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2.9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F6356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Samochód wyposażony w instalację antenową na pasmo radiowe 148 MHz.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8328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9F96E8B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657C2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3.0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EA94E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Sygnalizacja świetlna – ostrzegawcza:  Dwie lampy na dachu kabiny załogi  posiadające min. 24 punkty świetlne, dwie lampy na atrapie przedniej kabiny oraz dwie na owiewkach bocznych kabiny. Z tyłu nadwozia dwie lampy. Po bokach nadwozia po dwie lampy. </w:t>
            </w:r>
          </w:p>
          <w:p w14:paraId="4181BE79" w14:textId="1552BCDD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Sygnalizacja dźwiękowa z głośnikami o mocy min. 2 x 100W                          z możliwością podawania komunikatów słownych. </w:t>
            </w:r>
          </w:p>
          <w:p w14:paraId="0E81939B" w14:textId="2224245B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Sygnał pneumatyczny ze sterowaniem umożliwiającym obsługę przez kierowcę i dowódcę.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86AE4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6CB28A4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28970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F5757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Pojazd wyposażony w sygnalizację świetlną i dźwiękową włączonego biegu wstecznego, jako sygnalizacja świetlna - lampa cofania.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93A6" w14:textId="77777777" w:rsidR="00506A3B" w:rsidRPr="00507B91" w:rsidRDefault="00506A3B" w:rsidP="00506A3B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2C7461CE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2CD2E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3.2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640FE" w14:textId="39DA485C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Pełnowymiarowe koło zapasowe na wyposażeniu pojazdu                                 bez konieczności stałego przewożenia.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1D9B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3C2116B2" w14:textId="77777777" w:rsidTr="0087444B">
        <w:trPr>
          <w:trHeight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7D8F2E8" w14:textId="77777777" w:rsidR="00506A3B" w:rsidRPr="00507B91" w:rsidRDefault="00506A3B" w:rsidP="00506A3B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3.3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EB6FCF" w14:textId="752E1A16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wyposażony w hak holowniczy z tyłu pojazdu posiadający homologację lub znak bezpieczeństwa. Samochód wyposażony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zaczep holowniczy umożliwiające odholowanie pojazdu.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2D18E6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36AC6975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707285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3.4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63992" w14:textId="3394A9A8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Nadwozie wykonane z materiałów odpornych na korozję. Szkielet nadwozia - spawany, wykonany ze stali nierdzewnej. Wnętrze skrytek - półki na prowadnicach ze stali nierdzewnej z możliwością indywidualnego ustawienia wysokości.  Poszycia zewnętrzne po obu stronach pojazdu wykonane ze stali nierdzewnej. Ściany zewnętrzne z izolacją termiczną. Skrytki na sprzęt z </w:t>
            </w:r>
            <w:proofErr w:type="spellStart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poszyciami</w:t>
            </w:r>
            <w:proofErr w:type="spellEnd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wewnętrznymi wszystkich ścian w tym  osłaniające zbiorniki na środki gaśnicze.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B8D66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32DCBD72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67A75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3.5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4A2E3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Dach zabudowy w formie podestu roboczego, w wykonaniu antypoślizgowym. Podesty robocze po obu stronach pojazdu w wykonaniu antypoślizgowy. Zawiasy podestów regulowane wykonane ze stali nierdzewnej.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9A3C6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254540DA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C8213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3.6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6ED91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Drabina do wejścia na dach wykonana ze stali nierdzewnej kwasoodpornej bez konieczności składania. Tylna belka najazdowa wykonana ze stali nierdzewnej automatycznie podnoszona.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A546" w14:textId="77777777" w:rsidR="00506A3B" w:rsidRPr="00507B91" w:rsidRDefault="00506A3B" w:rsidP="00506A3B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0EA883F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D5BD8A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3.7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548DF" w14:textId="77777777" w:rsidR="00506A3B" w:rsidRPr="00507B91" w:rsidRDefault="00506A3B" w:rsidP="00506A3B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Skrytki na sprzęt w układzie min. 3+3+1 zamykane żaluzjami wodo i pyłoszczelnymi wspomaganymi systemem sprężynowym, wykonane z materiałów odpornych na korozję, wyposażone w zamki zamykane na klucz, jeden klucz do wszystkich zamków. Lamelki żaluzji o szerokości max. 3 cm.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8906" w14:textId="77777777" w:rsidR="00506A3B" w:rsidRPr="00507B91" w:rsidRDefault="00506A3B" w:rsidP="00506A3B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52BE3DB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97CED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3.8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BA781A" w14:textId="0287CE87" w:rsidR="00506A3B" w:rsidRPr="00507B91" w:rsidRDefault="00506A3B" w:rsidP="00506A3B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Skrytki na sprzęt i przedział autopompy wyposażone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oświetlenie LED: wyłącznik oświetlenia skrytek zainstalowany w kabinie kierowcy.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40E1" w14:textId="77777777" w:rsidR="00506A3B" w:rsidRPr="00507B91" w:rsidRDefault="00506A3B" w:rsidP="00506A3B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9CCF4A8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D14CF5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3.9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22B59" w14:textId="77777777" w:rsidR="00506A3B" w:rsidRPr="00507B91" w:rsidRDefault="00506A3B" w:rsidP="00506A3B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posiada oświetlenie pola pracy wokół samochodu oraz oświetlenie powierzchni dachu roboczego: wyłącznik oświetlenia skrytek zainstalowany w kabinie kierowcy.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AEBB" w14:textId="77777777" w:rsidR="00506A3B" w:rsidRPr="00507B91" w:rsidRDefault="00506A3B" w:rsidP="00506A3B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E91E640" w14:textId="77777777" w:rsidTr="0087444B">
        <w:trPr>
          <w:trHeight w:val="3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297C4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14FFAA" w14:textId="77777777" w:rsidR="00506A3B" w:rsidRPr="00507B91" w:rsidRDefault="00506A3B" w:rsidP="00506A3B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Uchwyty, klamki wszystkich urządzeń samochodu, drzwi żaluzjowych, szuflad, podestów, tac, tak skonstruowane, aby umożliwiały ich obsługę w rękawicach.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DED8" w14:textId="77777777" w:rsidR="00506A3B" w:rsidRPr="00507B91" w:rsidRDefault="00506A3B" w:rsidP="00506A3B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DD5C34F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B00AA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5444F" w14:textId="0FDDEB00" w:rsidR="00506A3B" w:rsidRPr="00507B91" w:rsidRDefault="00506A3B" w:rsidP="00506A3B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Konstrukcja skrytek zapewniająca odprowadzenie wody z ich wnętrza.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A80A2" w14:textId="77777777" w:rsidR="00506A3B" w:rsidRPr="00507B91" w:rsidRDefault="00506A3B" w:rsidP="00506A3B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F94B2E1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27C4D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4.2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75E34" w14:textId="77777777" w:rsidR="00506A3B" w:rsidRPr="00507B91" w:rsidRDefault="00506A3B" w:rsidP="00506A3B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Zbiorniki na środki gaśnicze wykonane z materiałów kompozytowych z użyciem włókien i żywic.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CEA0" w14:textId="77777777" w:rsidR="00506A3B" w:rsidRPr="00507B91" w:rsidRDefault="00506A3B" w:rsidP="00506A3B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518998E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9F4B2A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4.3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3539E" w14:textId="0008B45A" w:rsidR="00506A3B" w:rsidRPr="00507B91" w:rsidRDefault="00506A3B" w:rsidP="00506A3B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Zbiornik wody o pojemności min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imum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2500 litrów wyposażony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oprzyrządowanie umożliwiające jego bezpieczną eksploatację z układem zabezpieczającym przed wypływem wody w czasie jazdy. Zbiornik wyposażony                                       w falochrony.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B8135" w14:textId="77777777" w:rsidR="00506A3B" w:rsidRPr="00507B91" w:rsidRDefault="00506A3B" w:rsidP="00506A3B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E33FCB4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7CB7B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4.4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600EE" w14:textId="5EB162B4" w:rsidR="00506A3B" w:rsidRPr="00507B91" w:rsidRDefault="00506A3B" w:rsidP="00506A3B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Zbiornik środka pianotwórczego o pojemności min. 10% zbiornika wody wykonany z materiałów odpornych na działanie dopuszczonych do stosowania środków pianotwórczych                                      i modyfikatorów. Zbiornik wyposażony w oprzyrządowanie zapewniające jego bezpieczną eksploatację. Napełnianie zbiornika środkiem pianotwórczym możliwe z poziomu terenu i z dachu pojazdu.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E7CBC" w14:textId="77777777" w:rsidR="00506A3B" w:rsidRPr="00507B91" w:rsidRDefault="00506A3B" w:rsidP="00506A3B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425296BD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27F5F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4.5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D54A0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Autopompa zlokalizowana z tyłu pojazdu w obudowanym przedziale, zamykanym żaluzją.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544C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F7CDA20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DB429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4.6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A5917E" w14:textId="5B0B2010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Autopompa min. A16/8 ze stopniem wysokiego ciśnienia                                 o wydajności min.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00 l/min. przy ciśnieniu 40 bar.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B4758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D2259BB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C8F1B0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4.7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CD4B6" w14:textId="77777777" w:rsidR="00506A3B" w:rsidRPr="00507B91" w:rsidRDefault="00506A3B" w:rsidP="00506A3B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Układ wodno-pianowy zabudowany w taki sposób aby parametry autopompy przy zasilaniu ze zbiornika samochodu były nie mniejsze niż przy zasilaniu ze zbiornika zewnętrznego dla głębokości ssania 1,5m.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939FC" w14:textId="77777777" w:rsidR="00506A3B" w:rsidRPr="00507B91" w:rsidRDefault="00506A3B" w:rsidP="00506A3B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DADAEFE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924F6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4.8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6BDCE4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Autopompa i układ </w:t>
            </w:r>
            <w:proofErr w:type="spellStart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wodno</w:t>
            </w:r>
            <w:proofErr w:type="spellEnd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– pianowy umożliwiająca zasilanie co najmniej:</w:t>
            </w:r>
          </w:p>
          <w:p w14:paraId="0705E369" w14:textId="73DA4DCB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dwie nasady tłoczne 75 zlokalizowane z tyłu pojazdu,</w:t>
            </w:r>
          </w:p>
          <w:p w14:paraId="07F1D8B0" w14:textId="3D61887D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- linię szybkiego natarcia z dodatkowym systemem umożliwiającym      przedmuchiwanie instalacji powietrzem, </w:t>
            </w:r>
          </w:p>
          <w:p w14:paraId="64128B7C" w14:textId="77777777" w:rsidR="00506A3B" w:rsidRPr="00507B91" w:rsidRDefault="00506A3B" w:rsidP="00506A3B">
            <w:pPr>
              <w:tabs>
                <w:tab w:val="left" w:pos="161"/>
                <w:tab w:val="left" w:pos="6479"/>
                <w:tab w:val="left" w:pos="8504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zraszacze - 4 szt.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130D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40F85C0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F14E0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4.9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09D9B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Autopompa umożliwia podanie wody do zbiornika samochodu.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210C" w14:textId="77777777" w:rsidR="00506A3B" w:rsidRPr="00507B91" w:rsidRDefault="00506A3B" w:rsidP="00506A3B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36B77052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8B0006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CC7E2" w14:textId="6B8FB475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ab/>
              <w:t>Autopompa wyposażona w urządzenie odpowietrzające umożliwiające zassanie wody z zewnętrznego źródła w czasie zgodnym z przepisami.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23E8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0B1A8F4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CC8FD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976B87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W przedziale autopompy i kabiny znajdują się urządzenia </w:t>
            </w:r>
            <w:proofErr w:type="spellStart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kontrolno</w:t>
            </w:r>
            <w:proofErr w:type="spellEnd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- sterownicze pracy pompy.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4D6CF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242EE03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65E5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5.9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70C014" w14:textId="22FCAD64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Zbiornik wody wyposażony w nasadę 75, zawór kulowy do napełniania z hydrantu oraz dodatkowy zawór automatycznie zamykający się przy napełnieniu min. 95 % pojemności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 otwierający przy pojemności poniżej 50%. Instalacja napełniania posiada konstrukcję zabezpieczającą przed swobodnym wypływem wody ze zbiornika.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C0D1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72BE2C8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1CC00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BC67D" w14:textId="27738C6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Autopompa wyposażona w dozownik środka pianotwórczego zapewniający uzyskiwanie minimum stężeń 3% i 6% (tolerancja +/- 0,5%) w pełnym zakresie wydajności pompy.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5C83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4F1558A0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800A7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6.1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DD305" w14:textId="372FB6EF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Wszystkie elementy układu </w:t>
            </w:r>
            <w:proofErr w:type="spellStart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wodno</w:t>
            </w:r>
            <w:proofErr w:type="spellEnd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- pianowego odporne na korozję i działanie dopuszczonych do stosowania środków pianotwórczych i modyfikatorów.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442D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2FF6D4F5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5C9B8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6.2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485848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Konstrukcja układu </w:t>
            </w:r>
            <w:proofErr w:type="spellStart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wodno</w:t>
            </w:r>
            <w:proofErr w:type="spellEnd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– pianowego umożliwia jego całkowite odwodnienie przy użyciu co najwyżej dwóch zaworów.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A417" w14:textId="77777777" w:rsidR="00506A3B" w:rsidRPr="00507B91" w:rsidRDefault="00506A3B" w:rsidP="00506A3B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A17442C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4833D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6.3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B7288" w14:textId="77777777" w:rsidR="00506A3B" w:rsidRPr="00507B91" w:rsidRDefault="00506A3B" w:rsidP="00506A3B">
            <w:pPr>
              <w:suppressAutoHyphens/>
              <w:spacing w:after="0" w:line="240" w:lineRule="atLeast"/>
              <w:ind w:left="-10" w:firstLine="1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Przedział autopompy wyposażony w system niezależnego ogrzewania  skutecznie zabezpieczający układ wodno-pianowy przed zamarzaniem.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AE29" w14:textId="77777777" w:rsidR="00506A3B" w:rsidRPr="00507B91" w:rsidRDefault="00506A3B" w:rsidP="00506A3B">
            <w:pPr>
              <w:suppressAutoHyphens/>
              <w:spacing w:after="0" w:line="240" w:lineRule="atLeast"/>
              <w:ind w:left="-10" w:firstLine="1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E6B4E33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9F0754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6.4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E8F5F6" w14:textId="77777777" w:rsidR="00506A3B" w:rsidRPr="00507B91" w:rsidRDefault="00506A3B" w:rsidP="00506A3B">
            <w:pPr>
              <w:suppressAutoHyphens/>
              <w:spacing w:after="0" w:line="240" w:lineRule="atLeast"/>
              <w:ind w:left="-1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0AD0B" w14:textId="77777777" w:rsidR="00506A3B" w:rsidRPr="00507B91" w:rsidRDefault="00506A3B" w:rsidP="00506A3B">
            <w:pPr>
              <w:suppressAutoHyphens/>
              <w:spacing w:after="0" w:line="240" w:lineRule="atLeast"/>
              <w:ind w:left="-1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0F3E7904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A3ADC8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6.5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E8E6C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07B91">
              <w:rPr>
                <w:rFonts w:ascii="Arial" w:eastAsia="BookAntiqua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posiada miejsce do indywidualnego montażu sprzętu - wg wymagań KG PSP.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AAAFD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6B60BBB7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B53E68" w14:textId="77777777" w:rsidR="00506A3B" w:rsidRPr="00507B91" w:rsidRDefault="00506A3B" w:rsidP="00506A3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7.0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7FF36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07B91">
              <w:rPr>
                <w:rFonts w:ascii="Arial" w:eastAsia="BookAntiqua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Wyposażenie i oznakowanie pojazdu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695E2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236B651E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0E59A8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7.1 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27DBD" w14:textId="1583B57C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- Wykonanie </w:t>
            </w:r>
            <w:r w:rsidRPr="00507B91">
              <w:rPr>
                <w:rFonts w:ascii="Arial" w:eastAsia="BookAntiqua" w:hAnsi="Arial" w:cs="Arial"/>
                <w:kern w:val="0"/>
                <w:sz w:val="24"/>
                <w:szCs w:val="24"/>
                <w:lang w:eastAsia="pl-PL"/>
                <w14:ligatures w14:val="none"/>
              </w:rPr>
              <w:t>oznakowania numerami operacyjnymi zgodnie                          z obowiązującymi wymogami.</w:t>
            </w:r>
          </w:p>
          <w:p w14:paraId="2CEE914E" w14:textId="4FC052DB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- Elektropneumatyczny maszt oświetleniowy sterowany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</w:t>
            </w: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 pilota przewodowego zasilany bezpośrednio z instalacji podwoziowej (lampy LED) o mocy min. 30000 lm z układem samoczynnego składania po zwolnieniu hamulca ręcznego.</w:t>
            </w:r>
          </w:p>
          <w:p w14:paraId="5749286A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Radiotelefon przewoźny w kabinie.</w:t>
            </w:r>
          </w:p>
          <w:p w14:paraId="2CA04480" w14:textId="511B042D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W kabinie podstawa po latarki i radiotelefony z wyłącznikiem prądu (12V) wykonana ze stali nierdzewnej lub aluminium.</w:t>
            </w:r>
          </w:p>
          <w:p w14:paraId="1B709BBF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Napęd zwijadła szybkiego natarcia ręczny z przekładnią zębatą o przełożeniu min. 4:1 umożliwiający obsługę (zwijanie węża) przez jednego operatora za pomocą korby umiejscowionej na tylnej ścianie po prawej stronie. Zwijadło wyposażone ponadto w napęd elektryczny ze mechanicznym sprzęgłem  przeciążeniowym zabezpieczającym przed uszkodzeniem napędu.</w:t>
            </w:r>
          </w:p>
          <w:p w14:paraId="4A13BF89" w14:textId="77777777" w:rsidR="00506A3B" w:rsidRPr="00507B91" w:rsidRDefault="00506A3B" w:rsidP="00506A3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 Kamera cofania.</w:t>
            </w:r>
          </w:p>
          <w:p w14:paraId="72A7B9BE" w14:textId="77777777" w:rsidR="00506A3B" w:rsidRPr="00507B91" w:rsidRDefault="00506A3B" w:rsidP="00506A3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 Dodatkowy sygnał pneumatyczny.</w:t>
            </w:r>
          </w:p>
          <w:p w14:paraId="47631DE7" w14:textId="77777777" w:rsidR="00506A3B" w:rsidRPr="00507B91" w:rsidRDefault="00506A3B" w:rsidP="00506A3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 Półka obrotowa na sprzęt burzący w środkowej skrytce po lewej stronie z minimum dwoma półkami ze stali nierdzewnej na sprzęt.</w:t>
            </w:r>
          </w:p>
          <w:p w14:paraId="39E78807" w14:textId="7A23AFE5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 Mobilny moduł wyciągowy z wyłącznikiem prądu w obudowie kompozytowej z wyciągarką o uciągu min. 8 ton umożliwiający demontaż i montaż do zaczepu holowniczego pojazdu.</w:t>
            </w:r>
          </w:p>
          <w:p w14:paraId="025A39DB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Belka na atrapie wyposażona w 4 lampy dalekosiężne oraz lampę podświetlającą wyciągarkę załączaną automatycznie po załączeniu głównego wyłącznika modułu wyciągowego.</w:t>
            </w:r>
          </w:p>
          <w:p w14:paraId="5A6A3AB5" w14:textId="19BFCA9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- Relingi po obu stronach nadwozia pożarniczego na całej jego długości wykonane ze stali nierdzewnej kwasoodpornej                                         z podświetleniem w </w:t>
            </w:r>
            <w:bookmarkStart w:id="1" w:name="_GoBack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kolor</w:t>
            </w:r>
            <w:bookmarkEnd w:id="1"/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ze niebieskim na całej długości.</w:t>
            </w:r>
          </w:p>
          <w:p w14:paraId="278D9919" w14:textId="385B1BC8" w:rsidR="00506A3B" w:rsidRPr="00507B91" w:rsidRDefault="00506A3B" w:rsidP="00506A3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- Skrzynia na dachu wykonana z materiałów kompozytowych, pokrywa wyposażona w zamek i siłowniki podtrzymujące. Wymiary min. długość 220 cm, szerokość 70 cm. Wysokość nie zwiększająca wysokości pojazdu.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71D49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15E4C356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30371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F431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Inne</w:t>
            </w:r>
            <w:r w:rsidRPr="00507B91">
              <w:rPr>
                <w:rFonts w:ascii="Arial" w:eastAsia="BookAntiqua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ab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FC73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9C9B6F0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681F4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8.1.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41A99" w14:textId="0C7C33D8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Gwarancja na pojazd: </w:t>
            </w:r>
            <w:r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 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24 miesiące. Wykonawca  </w:t>
            </w:r>
            <w:r w:rsidRPr="00507B91">
              <w:rPr>
                <w:rFonts w:ascii="Arial" w:eastAsia="Times New Roman" w:hAnsi="Arial" w:cs="Arial"/>
                <w:spacing w:val="-1"/>
                <w:sz w:val="24"/>
                <w:szCs w:val="24"/>
                <w:lang w:eastAsia="pl-PL"/>
              </w:rPr>
              <w:t>zobowiązuje się do wykonania bezpłatnych przeglądów w okresie gwarancyjnym</w:t>
            </w:r>
            <w:r>
              <w:rPr>
                <w:rFonts w:ascii="Arial" w:eastAsia="Times New Roman" w:hAnsi="Arial" w:cs="Arial"/>
                <w:spacing w:val="-1"/>
                <w:sz w:val="24"/>
                <w:szCs w:val="24"/>
                <w:lang w:eastAsia="pl-PL"/>
              </w:rPr>
              <w:t xml:space="preserve"> łącznie z materiałami</w:t>
            </w:r>
            <w:r w:rsidRPr="00507B91">
              <w:rPr>
                <w:rFonts w:ascii="Arial" w:eastAsia="Times New Roman" w:hAnsi="Arial" w:cs="Arial"/>
                <w:spacing w:val="-1"/>
                <w:sz w:val="24"/>
                <w:szCs w:val="24"/>
                <w:lang w:eastAsia="pl-PL"/>
              </w:rPr>
              <w:t>.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38D3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85FD59C" w14:textId="77777777" w:rsidTr="006C692D">
        <w:trPr>
          <w:trHeight w:val="21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C0F8C" w14:textId="77777777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8.2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392A" w14:textId="4C5B40A5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Wykonawca obowiązany jest do dostarczenia wraz   </w:t>
            </w:r>
            <w:r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z pojazdem:</w:t>
            </w:r>
          </w:p>
          <w:p w14:paraId="3D36C8CA" w14:textId="616AC5F7" w:rsidR="00506A3B" w:rsidRPr="00507B91" w:rsidRDefault="00506A3B" w:rsidP="00506A3B">
            <w:pPr>
              <w:suppressAutoHyphens/>
              <w:spacing w:after="0" w:line="240" w:lineRule="atLeast"/>
              <w:ind w:left="265" w:hanging="265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1)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instrukcji obsługi w języku polskim do podwozia samochodu, zabudowy pożarniczej i zainstalowanych urządzeń </w:t>
            </w:r>
            <w:r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i wyposażenia,</w:t>
            </w:r>
          </w:p>
          <w:p w14:paraId="79C1C0A0" w14:textId="77777777" w:rsidR="00506A3B" w:rsidRPr="00507B91" w:rsidRDefault="00506A3B" w:rsidP="00506A3B">
            <w:pPr>
              <w:suppressAutoHyphens/>
              <w:spacing w:after="0" w:line="240" w:lineRule="atLeast"/>
              <w:ind w:left="265" w:hanging="265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2)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ab/>
              <w:t>dokumentacji niezbędnej do zarejestrowania pojazdu jako „samochód specjalny”, wynikającej z ustawy „Prawo o ruchu drogowym”.</w:t>
            </w:r>
          </w:p>
          <w:p w14:paraId="1907B2C3" w14:textId="204C85AE" w:rsidR="00506A3B" w:rsidRPr="00507B91" w:rsidRDefault="00506A3B" w:rsidP="00506A3B">
            <w:pPr>
              <w:suppressAutoHyphens/>
              <w:spacing w:after="0" w:line="240" w:lineRule="atLeast"/>
              <w:ind w:left="265" w:hanging="265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3)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ab/>
              <w:t xml:space="preserve">instrukcje obsługi urządzeń i sprzętu zamontowanego </w:t>
            </w:r>
            <w:r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</w:t>
            </w:r>
            <w:r w:rsidRPr="00507B91"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 pojeździe w języku polskim.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1A766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5464D868" w14:textId="77777777" w:rsidTr="00667EE1">
        <w:trPr>
          <w:trHeight w:val="13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837D0" w14:textId="4025D80B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8.3.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0E57" w14:textId="2526401F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hAnsi="Arial" w:cs="Arial"/>
                <w:color w:val="000000"/>
                <w:sz w:val="24"/>
                <w:szCs w:val="24"/>
              </w:rPr>
              <w:t xml:space="preserve">Oznakowanie pojazdu zgodne z Zarządzeniem Nr 1 Komendanta Głównego PSP z dnia 24 stycznia 2020 r.,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</w:t>
            </w:r>
            <w:r w:rsidRPr="00507B91">
              <w:rPr>
                <w:rFonts w:ascii="Arial" w:hAnsi="Arial" w:cs="Arial"/>
                <w:color w:val="000000"/>
                <w:sz w:val="24"/>
                <w:szCs w:val="24"/>
              </w:rPr>
              <w:t>w sprawie gospodarki transportowej w jednostkach organizacyjnych PSP (</w:t>
            </w:r>
            <w:r w:rsidRPr="00507B91">
              <w:rPr>
                <w:rFonts w:ascii="Arial" w:hAnsi="Arial" w:cs="Arial"/>
                <w:sz w:val="24"/>
                <w:szCs w:val="24"/>
              </w:rPr>
              <w:t>Dz. Urz. KG PSP z 2020 r. poz. 3 ze zm.</w:t>
            </w:r>
            <w:r w:rsidRPr="00507B91">
              <w:rPr>
                <w:rFonts w:ascii="Arial" w:hAnsi="Arial" w:cs="Arial"/>
                <w:color w:val="000000"/>
                <w:sz w:val="24"/>
                <w:szCs w:val="24"/>
              </w:rPr>
              <w:t xml:space="preserve">). Numery operacyjne zostaną podane  </w:t>
            </w:r>
            <w:r w:rsidRPr="00507B91"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  <w:t>na etapie realizacji zamówienia.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E909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243930AA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AE8A" w14:textId="06DDF9DD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8.4.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EE169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07B91"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  <w:t>Na pojeździe umieszczona zostanie informacja dotycząca współfinansujących pojazd – zgodnie z wymaganiami Zamawiającego na etapie realizacji zamówienia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A6DF6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6A3B" w:rsidRPr="00507B91" w14:paraId="7501EE9E" w14:textId="77777777" w:rsidTr="0087444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CA95F" w14:textId="5CA4D6FF" w:rsidR="00506A3B" w:rsidRPr="00507B91" w:rsidRDefault="00506A3B" w:rsidP="00506A3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8.5.</w:t>
            </w:r>
          </w:p>
        </w:tc>
        <w:tc>
          <w:tcPr>
            <w:tcW w:w="6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8385" w14:textId="5A1D93FF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</w:pPr>
            <w:r w:rsidRPr="00507B91"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  <w:t xml:space="preserve">Wykonawca pojazdu zobowiązany jest do zatankowania pojazdu płynami eksploatacyjnymi tj. paliwo ON, środek pianotwórczy, płyn do spryskiwaczy, płyn chłodniczy. </w:t>
            </w:r>
            <w:r w:rsidRPr="00507B91">
              <w:rPr>
                <w:rFonts w:ascii="Arial" w:eastAsia="Times New Roman" w:hAnsi="Arial" w:cs="Arial"/>
                <w:color w:val="FF0000"/>
                <w:spacing w:val="-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44F44" w14:textId="77777777" w:rsidR="00506A3B" w:rsidRPr="00507B91" w:rsidRDefault="00506A3B" w:rsidP="00506A3B">
            <w:pPr>
              <w:suppressAutoHyphens/>
              <w:spacing w:after="0" w:line="240" w:lineRule="atLeast"/>
              <w:jc w:val="both"/>
              <w:rPr>
                <w:rFonts w:ascii="Arial" w:eastAsia="BookAntiqua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09CEE72" w14:textId="7FECBB0A" w:rsidR="006C692D" w:rsidRPr="00507B91" w:rsidRDefault="00F03E45" w:rsidP="006C692D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Arial" w:eastAsia="Times New Roman" w:hAnsi="Arial" w:cs="Arial"/>
          <w:color w:val="00000A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A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B8E866D" w14:textId="77777777" w:rsidR="003E2C22" w:rsidRPr="00507B91" w:rsidRDefault="003E2C22" w:rsidP="003E2C2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07B9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Uwaga !</w:t>
      </w:r>
    </w:p>
    <w:p w14:paraId="25C8103D" w14:textId="5C2162A1" w:rsidR="003E2C22" w:rsidRDefault="003E2C22" w:rsidP="00F03E4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Prawą stronę tabeli (potwierdzenie wymagań…), należy wypełnić stosując słowa „spełnia” lub „nie spełnia”, zamiennie „tak” lub „nie”, zaś w przypadku żądania wykazania wpisu określonych parametrów, należy wpisać oferowane konkretne ,rzeczowe wartości techniczno-użytkowe. W przypadku, gdy Wykonawca w którejkolwiek z pozycji wpisze słowa „nie spełnia”, zamiennie „nie” lub zaoferuje niższe wartości lub poświadczy nieprawdę, oferta zostanie odrzucona, gdyż jej treść nie </w:t>
      </w:r>
      <w:r w:rsid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będzie </w:t>
      </w:r>
      <w:r w:rsidRP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odpowiada</w:t>
      </w:r>
      <w:r w:rsid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ć</w:t>
      </w:r>
      <w:r w:rsidRP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treści </w:t>
      </w:r>
      <w:r w:rsidR="0039327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OP</w:t>
      </w:r>
      <w:r w:rsidRPr="00F03E4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Z.</w:t>
      </w:r>
    </w:p>
    <w:p w14:paraId="37D012CD" w14:textId="77777777" w:rsidR="006C692D" w:rsidRPr="00507B91" w:rsidRDefault="006C692D" w:rsidP="006C692D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</w:p>
    <w:sectPr w:rsidR="006C692D" w:rsidRPr="00507B91" w:rsidSect="000B60F1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2428" w14:textId="77777777" w:rsidR="000B60F1" w:rsidRDefault="000B60F1" w:rsidP="00602183">
      <w:pPr>
        <w:spacing w:after="0" w:line="240" w:lineRule="auto"/>
      </w:pPr>
      <w:r>
        <w:separator/>
      </w:r>
    </w:p>
  </w:endnote>
  <w:endnote w:type="continuationSeparator" w:id="0">
    <w:p w14:paraId="3F690748" w14:textId="77777777" w:rsidR="000B60F1" w:rsidRDefault="000B60F1" w:rsidP="0060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49E0D" w14:textId="77777777" w:rsidR="000B60F1" w:rsidRDefault="000B60F1" w:rsidP="00602183">
      <w:pPr>
        <w:spacing w:after="0" w:line="240" w:lineRule="auto"/>
      </w:pPr>
      <w:r>
        <w:separator/>
      </w:r>
    </w:p>
  </w:footnote>
  <w:footnote w:type="continuationSeparator" w:id="0">
    <w:p w14:paraId="7DA432B2" w14:textId="77777777" w:rsidR="000B60F1" w:rsidRDefault="000B60F1" w:rsidP="00602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AC969" w14:textId="77777777" w:rsidR="00334E67" w:rsidRPr="00095F16" w:rsidRDefault="00334E67" w:rsidP="00334E67">
    <w:pPr>
      <w:pStyle w:val="Nagwek"/>
      <w:tabs>
        <w:tab w:val="left" w:pos="1440"/>
        <w:tab w:val="left" w:pos="2830"/>
      </w:tabs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33532199"/>
    <w:bookmarkStart w:id="16" w:name="_Hlk133532200"/>
    <w:bookmarkStart w:id="17" w:name="_Hlk133532304"/>
    <w:bookmarkStart w:id="18" w:name="_Hlk133532305"/>
    <w:bookmarkStart w:id="19" w:name="_Hlk133533281"/>
    <w:bookmarkStart w:id="20" w:name="_Hlk133533282"/>
    <w:bookmarkStart w:id="21" w:name="_Hlk133533383"/>
    <w:bookmarkStart w:id="22" w:name="_Hlk133533384"/>
    <w:bookmarkStart w:id="23" w:name="_Hlk133533459"/>
    <w:bookmarkStart w:id="24" w:name="_Hlk133533460"/>
    <w:bookmarkStart w:id="25" w:name="_Hlk133533505"/>
    <w:bookmarkStart w:id="26" w:name="_Hlk133533506"/>
    <w:bookmarkStart w:id="27" w:name="_Hlk133533535"/>
    <w:bookmarkStart w:id="28" w:name="_Hlk133533536"/>
    <w:bookmarkStart w:id="29" w:name="_Hlk133533571"/>
    <w:bookmarkStart w:id="30" w:name="_Hlk133533572"/>
    <w:bookmarkStart w:id="31" w:name="_Hlk133533784"/>
    <w:bookmarkStart w:id="32" w:name="_Hlk133533785"/>
    <w:bookmarkStart w:id="33" w:name="_Hlk133533889"/>
    <w:bookmarkStart w:id="34" w:name="_Hlk133533890"/>
    <w:bookmarkStart w:id="35" w:name="_Hlk133533955"/>
    <w:bookmarkStart w:id="36" w:name="_Hlk133533956"/>
    <w:bookmarkStart w:id="37" w:name="_Hlk133533997"/>
    <w:bookmarkStart w:id="38" w:name="_Hlk133533998"/>
    <w:bookmarkStart w:id="39" w:name="_Hlk133534019"/>
    <w:bookmarkStart w:id="40" w:name="_Hlk133534020"/>
    <w:bookmarkStart w:id="41" w:name="_Hlk133569989"/>
    <w:bookmarkStart w:id="42" w:name="_Hlk133569990"/>
    <w:r>
      <w:tab/>
    </w:r>
    <w:r>
      <w:tab/>
    </w:r>
    <w:r>
      <w:tab/>
    </w:r>
    <w:r>
      <w:tab/>
    </w:r>
    <w:bookmarkStart w:id="43" w:name="_Hlk95806435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490DBCDA" w14:textId="77777777" w:rsidR="00334E67" w:rsidRDefault="00334E67" w:rsidP="00334E67">
    <w:pPr>
      <w:pStyle w:val="Nagwek"/>
      <w:rPr>
        <w:rFonts w:ascii="Cambria" w:hAnsi="Cambria" w:cs="Arial"/>
        <w:sz w:val="20"/>
        <w:szCs w:val="20"/>
      </w:rPr>
    </w:pPr>
  </w:p>
  <w:p w14:paraId="2F12CCD7" w14:textId="77777777" w:rsidR="00334E67" w:rsidRPr="00FF57B4" w:rsidRDefault="00334E67" w:rsidP="00334E67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7293CD7E" wp14:editId="2B3F5941">
          <wp:extent cx="5772150" cy="419100"/>
          <wp:effectExtent l="0" t="0" r="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91F2E" w14:textId="77777777" w:rsidR="00334E67" w:rsidRDefault="00334E67" w:rsidP="00334E67">
    <w:pPr>
      <w:pStyle w:val="Nagwek"/>
      <w:rPr>
        <w:rFonts w:ascii="Cambria" w:hAnsi="Cambria" w:cs="Arial"/>
        <w:sz w:val="20"/>
        <w:szCs w:val="20"/>
      </w:rPr>
    </w:pPr>
  </w:p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61A6DB62" w14:textId="5A9E0FA5" w:rsidR="00334E67" w:rsidRDefault="00334E67" w:rsidP="003C2A9E">
    <w:pPr>
      <w:spacing w:before="120"/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3C2A9E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B1D2A"/>
    <w:multiLevelType w:val="hybridMultilevel"/>
    <w:tmpl w:val="7C207D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89284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70E48"/>
    <w:multiLevelType w:val="hybridMultilevel"/>
    <w:tmpl w:val="FD1A7796"/>
    <w:lvl w:ilvl="0" w:tplc="2E12F2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27"/>
    <w:rsid w:val="0002482F"/>
    <w:rsid w:val="00076276"/>
    <w:rsid w:val="00086695"/>
    <w:rsid w:val="000B60F1"/>
    <w:rsid w:val="000D6084"/>
    <w:rsid w:val="000E3BF6"/>
    <w:rsid w:val="00117224"/>
    <w:rsid w:val="00161440"/>
    <w:rsid w:val="0017156F"/>
    <w:rsid w:val="00172C8C"/>
    <w:rsid w:val="001C6B9E"/>
    <w:rsid w:val="002A62A7"/>
    <w:rsid w:val="00334E67"/>
    <w:rsid w:val="0038239F"/>
    <w:rsid w:val="0039327D"/>
    <w:rsid w:val="003C2A9E"/>
    <w:rsid w:val="003E2C22"/>
    <w:rsid w:val="004331AE"/>
    <w:rsid w:val="004926ED"/>
    <w:rsid w:val="004D1BBE"/>
    <w:rsid w:val="00504C60"/>
    <w:rsid w:val="00506A3B"/>
    <w:rsid w:val="00507B91"/>
    <w:rsid w:val="0053747F"/>
    <w:rsid w:val="00583B31"/>
    <w:rsid w:val="00590251"/>
    <w:rsid w:val="005C2E9D"/>
    <w:rsid w:val="005C3AB8"/>
    <w:rsid w:val="005D7C88"/>
    <w:rsid w:val="00602183"/>
    <w:rsid w:val="00667EE1"/>
    <w:rsid w:val="006C692D"/>
    <w:rsid w:val="006F0F6B"/>
    <w:rsid w:val="0087444B"/>
    <w:rsid w:val="008C1FA5"/>
    <w:rsid w:val="008F4CD6"/>
    <w:rsid w:val="00907C8F"/>
    <w:rsid w:val="009729CA"/>
    <w:rsid w:val="00982204"/>
    <w:rsid w:val="009B5128"/>
    <w:rsid w:val="00A5065E"/>
    <w:rsid w:val="00A86B5C"/>
    <w:rsid w:val="00AB3AD1"/>
    <w:rsid w:val="00B662BE"/>
    <w:rsid w:val="00B95AD8"/>
    <w:rsid w:val="00BB7EE5"/>
    <w:rsid w:val="00C91C27"/>
    <w:rsid w:val="00CB172C"/>
    <w:rsid w:val="00D1470E"/>
    <w:rsid w:val="00DA0671"/>
    <w:rsid w:val="00DB67D2"/>
    <w:rsid w:val="00DC7527"/>
    <w:rsid w:val="00DD08A3"/>
    <w:rsid w:val="00DD354B"/>
    <w:rsid w:val="00E06000"/>
    <w:rsid w:val="00E6063F"/>
    <w:rsid w:val="00E706D4"/>
    <w:rsid w:val="00ED75AE"/>
    <w:rsid w:val="00F03E45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D3F1"/>
  <w15:chartTrackingRefBased/>
  <w15:docId w15:val="{84243A5A-511C-41D9-BDEA-ED45C545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48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BB7EE5"/>
    <w:rPr>
      <w:color w:val="0000FF"/>
      <w:u w:val="single"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21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21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21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3E45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3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34E67"/>
  </w:style>
  <w:style w:type="paragraph" w:styleId="Stopka">
    <w:name w:val="footer"/>
    <w:basedOn w:val="Normalny"/>
    <w:link w:val="StopkaZnak"/>
    <w:uiPriority w:val="99"/>
    <w:unhideWhenUsed/>
    <w:rsid w:val="0033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E67"/>
  </w:style>
  <w:style w:type="character" w:styleId="Uwydatnienie">
    <w:name w:val="Emphasis"/>
    <w:basedOn w:val="Domylnaczcionkaakapitu"/>
    <w:uiPriority w:val="20"/>
    <w:qFormat/>
    <w:rsid w:val="00E060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199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32</cp:revision>
  <dcterms:created xsi:type="dcterms:W3CDTF">2024-03-18T13:12:00Z</dcterms:created>
  <dcterms:modified xsi:type="dcterms:W3CDTF">2024-06-07T07:39:00Z</dcterms:modified>
</cp:coreProperties>
</file>